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Toc521417677"/>
    </w:p>
    <w:p/>
    <w:p/>
    <w:p/>
    <w:p>
      <w:r>
        <w:drawing>
          <wp:inline distT="0" distB="0" distL="114300" distR="114300">
            <wp:extent cx="5271135" cy="1755140"/>
            <wp:effectExtent l="0" t="0" r="5715" b="1651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jc w:val="center"/>
        <w:outlineLvl w:val="0"/>
        <w:rPr>
          <w:sz w:val="44"/>
          <w:szCs w:val="44"/>
        </w:rPr>
      </w:pPr>
      <w:bookmarkStart w:id="1" w:name="_Toc30998"/>
      <w:r>
        <w:rPr>
          <w:rFonts w:hint="eastAsia"/>
          <w:sz w:val="44"/>
          <w:szCs w:val="44"/>
        </w:rPr>
        <w:t>工程建设网上开标操作</w:t>
      </w:r>
      <w:r>
        <w:rPr>
          <w:rFonts w:hint="eastAsia"/>
          <w:sz w:val="44"/>
          <w:szCs w:val="44"/>
          <w:lang w:val="en-US" w:eastAsia="zh-CN"/>
        </w:rPr>
        <w:t>指南</w:t>
      </w:r>
      <w:bookmarkEnd w:id="1"/>
    </w:p>
    <w:p>
      <w:pPr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（投标人）</w:t>
      </w: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rFonts w:asciiTheme="majorEastAsia" w:hAnsiTheme="majorEastAsia" w:eastAsiaTheme="majorEastAsia"/>
          <w:sz w:val="32"/>
          <w:szCs w:val="32"/>
        </w:rPr>
      </w:pPr>
      <w:r>
        <w:rPr>
          <w:rFonts w:hint="eastAsia" w:asciiTheme="majorEastAsia" w:hAnsiTheme="majorEastAsia" w:eastAsiaTheme="majorEastAsia"/>
          <w:sz w:val="32"/>
          <w:szCs w:val="32"/>
        </w:rPr>
        <w:t>202</w:t>
      </w:r>
      <w:r>
        <w:rPr>
          <w:rFonts w:asciiTheme="majorEastAsia" w:hAnsiTheme="majorEastAsia" w:eastAsiaTheme="majorEastAsia"/>
          <w:sz w:val="32"/>
          <w:szCs w:val="32"/>
        </w:rPr>
        <w:t>3</w:t>
      </w:r>
      <w:r>
        <w:rPr>
          <w:rFonts w:hint="eastAsia" w:asciiTheme="majorEastAsia" w:hAnsiTheme="majorEastAsia" w:eastAsiaTheme="majorEastAsia"/>
          <w:sz w:val="32"/>
          <w:szCs w:val="32"/>
        </w:rPr>
        <w:t>年0</w:t>
      </w:r>
      <w:r>
        <w:rPr>
          <w:rFonts w:asciiTheme="majorEastAsia" w:hAnsiTheme="majorEastAsia" w:eastAsiaTheme="majorEastAsia"/>
          <w:sz w:val="32"/>
          <w:szCs w:val="32"/>
        </w:rPr>
        <w:t>1</w:t>
      </w:r>
      <w:r>
        <w:rPr>
          <w:rFonts w:hint="eastAsia" w:asciiTheme="majorEastAsia" w:hAnsiTheme="majorEastAsia" w:eastAsiaTheme="majorEastAsia"/>
          <w:sz w:val="32"/>
          <w:szCs w:val="32"/>
        </w:rPr>
        <w:t>月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/>
        </w:rPr>
        <w:id w:val="147465115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/>
          <w:szCs w:val="44"/>
        </w:rPr>
      </w:sdtEndPr>
      <w:sdtContent>
        <w:p>
          <w:pPr>
            <w:jc w:val="center"/>
          </w:pPr>
          <w:r>
            <w:rPr>
              <w:rFonts w:ascii="宋体" w:hAnsi="宋体" w:eastAsia="宋体"/>
            </w:rPr>
            <w:t>目录</w:t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 w:val="44"/>
              <w:szCs w:val="44"/>
            </w:rPr>
            <w:fldChar w:fldCharType="begin"/>
          </w:r>
          <w:r>
            <w:rPr>
              <w:sz w:val="44"/>
              <w:szCs w:val="44"/>
            </w:rPr>
            <w:instrText xml:space="preserve">TOC \o "1-3" \h \u </w:instrText>
          </w:r>
          <w:r>
            <w:rPr>
              <w:sz w:val="44"/>
              <w:szCs w:val="44"/>
            </w:rPr>
            <w:fldChar w:fldCharType="separate"/>
          </w: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_Toc30998 </w:instrText>
          </w:r>
          <w:r>
            <w:rPr>
              <w:szCs w:val="44"/>
            </w:rPr>
            <w:fldChar w:fldCharType="separate"/>
          </w:r>
          <w:r>
            <w:rPr>
              <w:rFonts w:hint="eastAsia"/>
              <w:szCs w:val="44"/>
            </w:rPr>
            <w:t>工程建设网上开标操作</w:t>
          </w:r>
          <w:r>
            <w:rPr>
              <w:rFonts w:hint="eastAsia"/>
              <w:szCs w:val="44"/>
              <w:lang w:val="en-US" w:eastAsia="zh-CN"/>
            </w:rPr>
            <w:t>指南</w:t>
          </w:r>
          <w:r>
            <w:tab/>
          </w:r>
          <w:r>
            <w:fldChar w:fldCharType="begin"/>
          </w:r>
          <w:r>
            <w:instrText xml:space="preserve"> PAGEREF _Toc30998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_Toc3830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kern w:val="44"/>
              <w:szCs w:val="24"/>
            </w:rPr>
            <w:t xml:space="preserve">一、 </w:t>
          </w:r>
          <w:r>
            <w:rPr>
              <w:rFonts w:hint="eastAsia" w:ascii="宋体" w:hAnsi="宋体" w:eastAsia="宋体" w:cs="宋体"/>
              <w:bCs/>
              <w:kern w:val="44"/>
              <w:szCs w:val="24"/>
              <w:lang w:val="en-US" w:eastAsia="zh-CN"/>
            </w:rPr>
            <w:t>使用准备</w:t>
          </w:r>
          <w:r>
            <w:tab/>
          </w:r>
          <w:r>
            <w:fldChar w:fldCharType="begin"/>
          </w:r>
          <w:r>
            <w:instrText xml:space="preserve"> PAGEREF _Toc3830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_Toc32732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kern w:val="44"/>
              <w:szCs w:val="24"/>
            </w:rPr>
            <w:t xml:space="preserve">二、 </w:t>
          </w:r>
          <w:r>
            <w:rPr>
              <w:rFonts w:hint="eastAsia" w:ascii="宋体" w:hAnsi="宋体" w:eastAsia="宋体" w:cs="宋体"/>
              <w:bCs/>
              <w:kern w:val="44"/>
              <w:szCs w:val="24"/>
            </w:rPr>
            <w:t>系统登录</w:t>
          </w:r>
          <w:r>
            <w:tab/>
          </w:r>
          <w:r>
            <w:fldChar w:fldCharType="begin"/>
          </w:r>
          <w:r>
            <w:instrText xml:space="preserve"> PAGEREF _Toc32732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_Toc3655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kern w:val="44"/>
              <w:szCs w:val="24"/>
            </w:rPr>
            <w:t xml:space="preserve">三、 </w:t>
          </w:r>
          <w:r>
            <w:rPr>
              <w:rFonts w:hint="eastAsia" w:ascii="宋体" w:hAnsi="宋体" w:eastAsia="宋体" w:cs="宋体"/>
              <w:bCs/>
              <w:kern w:val="44"/>
              <w:szCs w:val="24"/>
            </w:rPr>
            <w:t>网上开标操作</w:t>
          </w:r>
          <w:r>
            <w:rPr>
              <w:rFonts w:hint="eastAsia" w:ascii="宋体" w:hAnsi="宋体" w:eastAsia="宋体" w:cs="宋体"/>
              <w:bCs/>
              <w:szCs w:val="24"/>
            </w:rPr>
            <w:t>（以工业项目为例）</w:t>
          </w:r>
          <w:r>
            <w:tab/>
          </w:r>
          <w:r>
            <w:fldChar w:fldCharType="begin"/>
          </w:r>
          <w:r>
            <w:instrText xml:space="preserve"> PAGEREF _Toc3655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_Toc5535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szCs w:val="24"/>
            </w:rPr>
            <w:t xml:space="preserve">3.1 </w:t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选中项目进入开标准备</w:t>
          </w:r>
          <w:r>
            <w:tab/>
          </w:r>
          <w:r>
            <w:fldChar w:fldCharType="begin"/>
          </w:r>
          <w:r>
            <w:instrText xml:space="preserve"> PAGEREF _Toc5535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_Toc9723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4"/>
            </w:rPr>
            <w:t xml:space="preserve">3.2 </w:t>
          </w:r>
          <w:r>
            <w:rPr>
              <w:rFonts w:hint="eastAsia" w:ascii="宋体" w:hAnsi="宋体" w:eastAsia="宋体" w:cs="宋体"/>
              <w:bCs w:val="0"/>
              <w:szCs w:val="24"/>
            </w:rPr>
            <w:t>等待开标</w:t>
          </w:r>
          <w:r>
            <w:tab/>
          </w:r>
          <w:r>
            <w:fldChar w:fldCharType="begin"/>
          </w:r>
          <w:r>
            <w:instrText xml:space="preserve"> PAGEREF _Toc9723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_Toc1840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4"/>
            </w:rPr>
            <w:t xml:space="preserve">3.3 </w:t>
          </w:r>
          <w:r>
            <w:rPr>
              <w:rFonts w:hint="eastAsia" w:ascii="宋体" w:hAnsi="宋体" w:eastAsia="宋体" w:cs="宋体"/>
              <w:bCs w:val="0"/>
              <w:szCs w:val="24"/>
            </w:rPr>
            <w:t>查看投标人名单</w:t>
          </w:r>
          <w:r>
            <w:tab/>
          </w:r>
          <w:r>
            <w:fldChar w:fldCharType="begin"/>
          </w:r>
          <w:r>
            <w:instrText xml:space="preserve"> PAGEREF _Toc1840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_Toc23656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4"/>
            </w:rPr>
            <w:t xml:space="preserve">3.4 </w:t>
          </w:r>
          <w:r>
            <w:rPr>
              <w:rFonts w:hint="eastAsia" w:ascii="宋体" w:hAnsi="宋体" w:eastAsia="宋体" w:cs="宋体"/>
              <w:bCs w:val="0"/>
              <w:szCs w:val="24"/>
            </w:rPr>
            <w:t>投标人解密</w:t>
          </w:r>
          <w:r>
            <w:tab/>
          </w:r>
          <w:r>
            <w:fldChar w:fldCharType="begin"/>
          </w:r>
          <w:r>
            <w:instrText xml:space="preserve"> PAGEREF _Toc23656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_Toc9000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szCs w:val="24"/>
            </w:rPr>
            <w:t xml:space="preserve">3.5 </w:t>
          </w:r>
          <w:r>
            <w:rPr>
              <w:rFonts w:hint="eastAsia" w:ascii="宋体" w:hAnsi="宋体" w:eastAsia="宋体" w:cs="宋体"/>
              <w:bCs/>
              <w:szCs w:val="24"/>
            </w:rPr>
            <w:t>唱标（无需投标单位操作）</w:t>
          </w:r>
          <w:r>
            <w:tab/>
          </w:r>
          <w:r>
            <w:fldChar w:fldCharType="begin"/>
          </w:r>
          <w:r>
            <w:instrText xml:space="preserve"> PAGEREF _Toc9000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_Toc10460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/>
              <w:szCs w:val="24"/>
            </w:rPr>
            <w:t xml:space="preserve">3.6 </w:t>
          </w:r>
          <w:r>
            <w:rPr>
              <w:rFonts w:hint="eastAsia" w:ascii="宋体" w:hAnsi="宋体" w:eastAsia="宋体" w:cs="宋体"/>
              <w:bCs/>
              <w:szCs w:val="24"/>
            </w:rPr>
            <w:t>语音异议</w:t>
          </w:r>
          <w:r>
            <w:tab/>
          </w:r>
          <w:r>
            <w:fldChar w:fldCharType="begin"/>
          </w:r>
          <w:r>
            <w:instrText xml:space="preserve"> PAGEREF _Toc10460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_Toc16982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4"/>
            </w:rPr>
            <w:t xml:space="preserve">3.7 </w:t>
          </w:r>
          <w:r>
            <w:rPr>
              <w:rFonts w:hint="eastAsia" w:ascii="宋体" w:hAnsi="宋体" w:eastAsia="宋体" w:cs="宋体"/>
              <w:bCs w:val="0"/>
              <w:szCs w:val="24"/>
            </w:rPr>
            <w:t>唱标确认（投标人操作）</w:t>
          </w:r>
          <w:r>
            <w:tab/>
          </w:r>
          <w:r>
            <w:fldChar w:fldCharType="begin"/>
          </w:r>
          <w:r>
            <w:instrText xml:space="preserve"> PAGEREF _Toc16982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44"/>
            </w:rPr>
            <w:fldChar w:fldCharType="begin"/>
          </w:r>
          <w:r>
            <w:rPr>
              <w:szCs w:val="44"/>
            </w:rPr>
            <w:instrText xml:space="preserve"> HYPERLINK \l _Toc3286 </w:instrText>
          </w:r>
          <w:r>
            <w:rPr>
              <w:szCs w:val="44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4"/>
            </w:rPr>
            <w:t xml:space="preserve">3.8 </w:t>
          </w:r>
          <w:r>
            <w:rPr>
              <w:rFonts w:hint="eastAsia" w:ascii="宋体" w:hAnsi="宋体" w:eastAsia="宋体" w:cs="宋体"/>
              <w:bCs w:val="0"/>
              <w:szCs w:val="24"/>
            </w:rPr>
            <w:t>开标结束</w:t>
          </w:r>
          <w:r>
            <w:tab/>
          </w:r>
          <w:r>
            <w:fldChar w:fldCharType="begin"/>
          </w:r>
          <w:r>
            <w:instrText xml:space="preserve"> PAGEREF _Toc3286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szCs w:val="44"/>
            </w:rPr>
            <w:fldChar w:fldCharType="end"/>
          </w:r>
        </w:p>
        <w:p>
          <w:pPr>
            <w:rPr>
              <w:sz w:val="44"/>
              <w:szCs w:val="44"/>
            </w:rPr>
          </w:pPr>
          <w:r>
            <w:rPr>
              <w:szCs w:val="44"/>
            </w:rPr>
            <w:fldChar w:fldCharType="end"/>
          </w:r>
        </w:p>
      </w:sdtContent>
    </w:sdt>
    <w:p>
      <w:pPr>
        <w:rPr>
          <w:sz w:val="44"/>
          <w:szCs w:val="44"/>
        </w:rPr>
      </w:pPr>
    </w:p>
    <w:p>
      <w:pPr>
        <w:rPr>
          <w:sz w:val="44"/>
          <w:szCs w:val="44"/>
        </w:rPr>
      </w:pPr>
    </w:p>
    <w:p>
      <w:pPr>
        <w:rPr>
          <w:sz w:val="44"/>
          <w:szCs w:val="44"/>
        </w:rPr>
      </w:pPr>
    </w:p>
    <w:p>
      <w:pPr>
        <w:tabs>
          <w:tab w:val="left" w:pos="5009"/>
        </w:tabs>
        <w:rPr>
          <w:sz w:val="44"/>
          <w:szCs w:val="44"/>
        </w:rPr>
      </w:pPr>
      <w:r>
        <w:rPr>
          <w:sz w:val="44"/>
          <w:szCs w:val="44"/>
        </w:rPr>
        <w:tab/>
      </w:r>
    </w:p>
    <w:p>
      <w:pPr>
        <w:tabs>
          <w:tab w:val="left" w:pos="2788"/>
        </w:tabs>
        <w:rPr>
          <w:sz w:val="44"/>
          <w:szCs w:val="44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sz w:val="44"/>
          <w:szCs w:val="44"/>
        </w:rPr>
        <w:tab/>
      </w:r>
    </w:p>
    <w:p>
      <w:pPr>
        <w:pStyle w:val="13"/>
        <w:keepNext/>
        <w:keepLines/>
        <w:numPr>
          <w:ilvl w:val="0"/>
          <w:numId w:val="1"/>
        </w:numPr>
        <w:tabs>
          <w:tab w:val="left" w:pos="425"/>
        </w:tabs>
        <w:spacing w:before="120" w:after="120" w:line="360" w:lineRule="auto"/>
        <w:ind w:firstLineChars="0"/>
        <w:outlineLvl w:val="0"/>
        <w:rPr>
          <w:rFonts w:hint="eastAsia" w:ascii="宋体" w:hAnsi="宋体" w:eastAsia="宋体" w:cs="宋体"/>
          <w:bCs/>
          <w:kern w:val="44"/>
          <w:sz w:val="24"/>
          <w:szCs w:val="24"/>
        </w:rPr>
      </w:pPr>
      <w:bookmarkStart w:id="2" w:name="_Toc3830"/>
      <w:bookmarkStart w:id="3" w:name="_Toc23604"/>
      <w:bookmarkStart w:id="4" w:name="_Toc97"/>
      <w:r>
        <w:rPr>
          <w:rFonts w:hint="eastAsia" w:ascii="宋体" w:hAnsi="宋体" w:eastAsia="宋体" w:cs="宋体"/>
          <w:bCs/>
          <w:kern w:val="44"/>
          <w:sz w:val="24"/>
          <w:szCs w:val="24"/>
          <w:lang w:val="en-US" w:eastAsia="zh-CN"/>
        </w:rPr>
        <w:t>使用准备</w:t>
      </w:r>
      <w:bookmarkEnd w:id="2"/>
      <w:bookmarkEnd w:id="3"/>
    </w:p>
    <w:p>
      <w:pPr>
        <w:bidi w:val="0"/>
        <w:spacing w:line="360" w:lineRule="auto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详见《湖南省公共资源交易中心-电子交易系统使用准备操作指南》，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14:textFill>
            <w14:solidFill>
              <w14:schemeClr w14:val="tx1"/>
            </w14:solidFill>
          </w14:textFill>
        </w:rPr>
        <w:t>湖南省公共资源交易中心网站（http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14:textFill>
            <w14:solidFill>
              <w14:schemeClr w14:val="tx1"/>
            </w14:solidFill>
          </w14:textFill>
        </w:rPr>
        <w:t>://ggzy.hunan.gov.cn/）-下载中心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4"/>
          <w:szCs w:val="24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bookmarkEnd w:id="4"/>
      <w:r>
        <w:rPr>
          <w:rStyle w:val="11"/>
          <w:rFonts w:hint="eastAsia" w:ascii="宋体" w:hAnsi="宋体" w:eastAsia="宋体" w:cs="宋体"/>
          <w:color w:val="000000" w:themeColor="text1"/>
          <w:kern w:val="0"/>
          <w:sz w:val="24"/>
          <w:szCs w:val="24"/>
          <w:u w:val="none"/>
          <w:lang w:val="en-US" w:eastAsia="zh-CN"/>
          <w14:textFill>
            <w14:solidFill>
              <w14:schemeClr w14:val="tx1"/>
            </w14:solidFill>
          </w14:textFill>
        </w:rPr>
        <w:t>获取。</w:t>
      </w:r>
    </w:p>
    <w:bookmarkEnd w:id="0"/>
    <w:p>
      <w:pPr>
        <w:pStyle w:val="13"/>
        <w:keepNext/>
        <w:keepLines/>
        <w:numPr>
          <w:ilvl w:val="0"/>
          <w:numId w:val="1"/>
        </w:numPr>
        <w:tabs>
          <w:tab w:val="left" w:pos="425"/>
        </w:tabs>
        <w:spacing w:before="120" w:after="120" w:line="360" w:lineRule="auto"/>
        <w:ind w:firstLineChars="0"/>
        <w:outlineLvl w:val="0"/>
        <w:rPr>
          <w:rFonts w:hint="eastAsia" w:ascii="宋体" w:hAnsi="宋体" w:eastAsia="宋体" w:cs="宋体"/>
          <w:bCs/>
          <w:kern w:val="44"/>
          <w:sz w:val="24"/>
          <w:szCs w:val="24"/>
        </w:rPr>
      </w:pPr>
      <w:bookmarkStart w:id="5" w:name="_Toc521417683"/>
      <w:bookmarkStart w:id="6" w:name="_Toc32732"/>
      <w:bookmarkStart w:id="7" w:name="_Toc517442120"/>
      <w:r>
        <w:rPr>
          <w:rFonts w:hint="eastAsia" w:ascii="宋体" w:hAnsi="宋体" w:eastAsia="宋体" w:cs="宋体"/>
          <w:bCs/>
          <w:kern w:val="44"/>
          <w:sz w:val="24"/>
          <w:szCs w:val="24"/>
        </w:rPr>
        <w:t>系统登录</w:t>
      </w:r>
      <w:bookmarkEnd w:id="5"/>
      <w:bookmarkEnd w:id="6"/>
      <w:bookmarkEnd w:id="7"/>
    </w:p>
    <w:p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方法一：登录湖南省公共资源交易服务平台（https://www.hnsggzy.com/）(可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浏览器关键字</w:t>
      </w:r>
      <w:r>
        <w:rPr>
          <w:rFonts w:hint="eastAsia" w:ascii="宋体" w:hAnsi="宋体" w:eastAsia="宋体" w:cs="宋体"/>
          <w:sz w:val="24"/>
          <w:szCs w:val="24"/>
        </w:rPr>
        <w:t>搜索)，打开网上办事大厅-网上开标，进入登录页面，通过CA或用户名密码登录。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drawing>
          <wp:inline distT="0" distB="0" distL="114300" distR="114300">
            <wp:extent cx="5269230" cy="3216910"/>
            <wp:effectExtent l="0" t="0" r="7620" b="2540"/>
            <wp:docPr id="10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1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402840"/>
            <wp:effectExtent l="0" t="0" r="2540" b="16510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360" w:firstLineChars="15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方法二：登录湖南省公共资源交易中心网站（http://www.hnsdzjy.com/），打开网上开标，进入登录页面，通过CA、用户名密码登录。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74510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402840"/>
            <wp:effectExtent l="0" t="0" r="2540" b="0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方法三：投标单位登录交易系统后，通过“不见面开标签到解密”菜单进入网上开标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大厅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18694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4028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0"/>
          <w:numId w:val="1"/>
        </w:numPr>
        <w:tabs>
          <w:tab w:val="left" w:pos="425"/>
        </w:tabs>
        <w:spacing w:before="120" w:after="120" w:line="360" w:lineRule="auto"/>
        <w:ind w:firstLineChars="0"/>
        <w:outlineLvl w:val="0"/>
        <w:rPr>
          <w:rFonts w:hint="eastAsia" w:ascii="宋体" w:hAnsi="宋体" w:eastAsia="宋体" w:cs="宋体"/>
          <w:bCs/>
          <w:kern w:val="44"/>
          <w:sz w:val="24"/>
          <w:szCs w:val="24"/>
        </w:rPr>
      </w:pPr>
      <w:bookmarkStart w:id="8" w:name="_Toc3655"/>
      <w:bookmarkStart w:id="23" w:name="_GoBack"/>
      <w:bookmarkEnd w:id="23"/>
      <w:r>
        <w:rPr>
          <w:rFonts w:hint="eastAsia" w:ascii="宋体" w:hAnsi="宋体" w:eastAsia="宋体" w:cs="宋体"/>
          <w:bCs/>
          <w:kern w:val="44"/>
          <w:sz w:val="24"/>
          <w:szCs w:val="24"/>
        </w:rPr>
        <w:t>网上开标操作</w:t>
      </w:r>
      <w:r>
        <w:rPr>
          <w:rFonts w:hint="eastAsia" w:ascii="宋体" w:hAnsi="宋体" w:eastAsia="宋体" w:cs="宋体"/>
          <w:bCs/>
          <w:sz w:val="24"/>
          <w:szCs w:val="24"/>
        </w:rPr>
        <w:t>（以工业项目为例）</w:t>
      </w:r>
      <w:bookmarkEnd w:id="8"/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Cs/>
          <w:sz w:val="24"/>
          <w:szCs w:val="24"/>
        </w:rPr>
      </w:pPr>
      <w:bookmarkStart w:id="9" w:name="_Toc5535"/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选中项目进入开标准备</w:t>
      </w:r>
      <w:bookmarkEnd w:id="9"/>
    </w:p>
    <w:p>
      <w:pPr>
        <w:spacing w:line="360" w:lineRule="auto"/>
        <w:ind w:firstLine="420" w:firstLineChars="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sz w:val="24"/>
          <w:szCs w:val="24"/>
        </w:rPr>
        <w:t>登录系统后，可</w:t>
      </w:r>
      <w:bookmarkStart w:id="10" w:name="_Toc30633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</w:t>
      </w:r>
      <w:r>
        <w:rPr>
          <w:rFonts w:hint="eastAsia" w:ascii="宋体" w:hAnsi="宋体" w:eastAsia="宋体" w:cs="宋体"/>
          <w:bCs/>
          <w:sz w:val="24"/>
          <w:szCs w:val="24"/>
        </w:rPr>
        <w:t>项目列表页面</w:t>
      </w:r>
      <w:bookmarkEnd w:id="10"/>
      <w:r>
        <w:rPr>
          <w:rFonts w:hint="eastAsia" w:ascii="宋体" w:hAnsi="宋体" w:eastAsia="宋体" w:cs="宋体"/>
          <w:sz w:val="24"/>
          <w:szCs w:val="24"/>
        </w:rPr>
        <w:t>查看标段开标状态，点击进入对应开标标段。右上角有“退出”按钮，点击可退出系统，中间项目列表区域右上角可根据标段名称或者标段编号查询，如下图：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34940" cy="2537460"/>
            <wp:effectExtent l="0" t="0" r="3810" b="0"/>
            <wp:docPr id="214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2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sz w:val="24"/>
          <w:szCs w:val="24"/>
        </w:rPr>
        <w:t>进入页面首先阅读开标流程，以实际登录系统为准，点击“我已阅读”进入开标大厅，点击“取消”返回项目列表页面。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3858260"/>
            <wp:effectExtent l="0" t="0" r="254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</w:t>
      </w:r>
      <w:r>
        <w:rPr>
          <w:rFonts w:hint="eastAsia" w:ascii="宋体" w:hAnsi="宋体" w:eastAsia="宋体" w:cs="宋体"/>
          <w:sz w:val="24"/>
          <w:szCs w:val="24"/>
        </w:rPr>
        <w:t>页面上方展示基础信息、右上方有“返回”按钮，点击返回项目列表页面；左侧中间部分是开标环节展示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34940" cy="2948940"/>
            <wp:effectExtent l="0" t="0" r="3810" b="3810"/>
            <wp:docPr id="212" name="图片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图片 2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4、</w:t>
      </w:r>
      <w:r>
        <w:rPr>
          <w:rFonts w:hint="eastAsia" w:ascii="宋体" w:hAnsi="宋体" w:eastAsia="宋体" w:cs="宋体"/>
          <w:sz w:val="24"/>
          <w:szCs w:val="24"/>
        </w:rPr>
        <w:t>右侧上部分为直播，直播开标场景，主持人开启直播直接即可观看；如果只能看到视频但听不到声音，刷新浏览器或者直播模式切换成主持人桌面即可。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14693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5、</w:t>
      </w:r>
      <w:r>
        <w:rPr>
          <w:rFonts w:hint="eastAsia" w:ascii="宋体" w:hAnsi="宋体" w:eastAsia="宋体" w:cs="宋体"/>
          <w:sz w:val="24"/>
          <w:szCs w:val="24"/>
        </w:rPr>
        <w:t>右侧下部分是公告栏，主要展示阶段信息、主持人切换视频、解密等信息；点击右上角放大镜可查看更多；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57800" cy="43434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/>
          <w:bCs w:val="0"/>
          <w:sz w:val="24"/>
          <w:szCs w:val="24"/>
        </w:rPr>
      </w:pPr>
      <w:bookmarkStart w:id="11" w:name="_Toc9723"/>
      <w:bookmarkStart w:id="12" w:name="_Toc7661"/>
      <w:r>
        <w:rPr>
          <w:rFonts w:hint="eastAsia" w:ascii="宋体" w:hAnsi="宋体" w:eastAsia="宋体" w:cs="宋体"/>
          <w:b/>
          <w:bCs w:val="0"/>
          <w:sz w:val="24"/>
          <w:szCs w:val="24"/>
        </w:rPr>
        <w:t>等待开标</w:t>
      </w:r>
      <w:bookmarkEnd w:id="11"/>
      <w:bookmarkEnd w:id="12"/>
    </w:p>
    <w:p>
      <w:pPr>
        <w:numPr>
          <w:ilvl w:val="0"/>
          <w:numId w:val="3"/>
        </w:numPr>
        <w:tabs>
          <w:tab w:val="left" w:pos="464"/>
        </w:tabs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点击下方“签到”按钮进行签到。签到成功后会在右下信息框显示，签到情况。签到成功之后，按钮灰化，无需再次签到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未签到不影响下一步解密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右上方可查看招标代理主持开标画面，进行语音交流。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42560" cy="2948940"/>
            <wp:effectExtent l="0" t="0" r="0" b="3810"/>
            <wp:docPr id="210" name="图片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图片 2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2、同时第一个座位图右下角出现绿色√；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在席：</w:t>
      </w:r>
      <w:r>
        <w:rPr>
          <w:rFonts w:hint="eastAsia"/>
          <w:lang w:val="en-US" w:eastAsia="zh-CN"/>
        </w:rPr>
        <w:drawing>
          <wp:inline distT="0" distB="0" distL="0" distR="0">
            <wp:extent cx="678180" cy="632460"/>
            <wp:effectExtent l="0" t="0" r="7620" b="0"/>
            <wp:docPr id="207" name="图片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图片 20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8180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离席：</w:t>
      </w:r>
      <w:r>
        <w:rPr>
          <w:rFonts w:hint="eastAsia"/>
          <w:lang w:val="en-US" w:eastAsia="zh-CN"/>
        </w:rPr>
        <w:drawing>
          <wp:inline distT="0" distB="0" distL="0" distR="0">
            <wp:extent cx="670560" cy="632460"/>
            <wp:effectExtent l="0" t="0" r="0" b="0"/>
            <wp:docPr id="206" name="图片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图片 20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，已签到：</w:t>
      </w:r>
      <w:r>
        <w:rPr>
          <w:rFonts w:hint="eastAsia"/>
          <w:lang w:val="en-US" w:eastAsia="zh-CN"/>
        </w:rPr>
        <w:drawing>
          <wp:inline distT="0" distB="0" distL="0" distR="0">
            <wp:extent cx="1722120" cy="678180"/>
            <wp:effectExtent l="0" t="0" r="0" b="7620"/>
            <wp:docPr id="205" name="图片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0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/>
          <w:bCs w:val="0"/>
          <w:sz w:val="24"/>
          <w:szCs w:val="24"/>
        </w:rPr>
      </w:pPr>
      <w:bookmarkStart w:id="13" w:name="_Toc15516"/>
      <w:bookmarkStart w:id="14" w:name="_Toc1840"/>
      <w:r>
        <w:rPr>
          <w:rFonts w:hint="eastAsia" w:ascii="宋体" w:hAnsi="宋体" w:eastAsia="宋体" w:cs="宋体"/>
          <w:b/>
          <w:bCs w:val="0"/>
          <w:sz w:val="24"/>
          <w:szCs w:val="24"/>
        </w:rPr>
        <w:t>查看投标人名单</w:t>
      </w:r>
      <w:bookmarkEnd w:id="13"/>
      <w:bookmarkEnd w:id="14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无需投标人操做，由招标代理操作，查看公布结果即可。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258060"/>
            <wp:effectExtent l="0" t="0" r="254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8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/>
          <w:bCs w:val="0"/>
          <w:sz w:val="24"/>
          <w:szCs w:val="24"/>
        </w:rPr>
      </w:pPr>
      <w:bookmarkStart w:id="15" w:name="_Toc23656"/>
      <w:bookmarkStart w:id="16" w:name="_Toc19717"/>
      <w:r>
        <w:rPr>
          <w:rFonts w:hint="eastAsia" w:ascii="宋体" w:hAnsi="宋体" w:eastAsia="宋体" w:cs="宋体"/>
          <w:b/>
          <w:bCs w:val="0"/>
          <w:sz w:val="24"/>
          <w:szCs w:val="24"/>
        </w:rPr>
        <w:t>投标人解密</w:t>
      </w:r>
      <w:bookmarkEnd w:id="15"/>
      <w:bookmarkEnd w:id="16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投标人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必须</w:t>
      </w:r>
      <w:r>
        <w:rPr>
          <w:rFonts w:hint="eastAsia" w:ascii="宋体" w:hAnsi="宋体" w:eastAsia="宋体" w:cs="宋体"/>
          <w:bCs/>
          <w:sz w:val="24"/>
          <w:szCs w:val="24"/>
        </w:rPr>
        <w:t>用生成投标文件的ca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锁（加解密证书必须一致）</w:t>
      </w:r>
      <w:r>
        <w:rPr>
          <w:rFonts w:hint="eastAsia" w:ascii="宋体" w:hAnsi="宋体" w:eastAsia="宋体" w:cs="宋体"/>
          <w:bCs/>
          <w:sz w:val="24"/>
          <w:szCs w:val="24"/>
        </w:rPr>
        <w:t>进行解密。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:shd w:val="clear" w:fill="FFC000"/>
          <w:lang w:val="en-US" w:eastAsia="zh-CN"/>
          <w14:textFill>
            <w14:solidFill>
              <w14:schemeClr w14:val="tx1"/>
            </w14:solidFill>
          </w14:textFill>
        </w:rPr>
        <w:t>温馨提示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：1、解密的使用的那台电脑必须安装新点驱动（全省版），并且驱动检测必须检测通过才能正常解密。2、解密所用的CA锁必须是生成投标文件用的CA锁，否则无法解密，产生的后果投标人自行承担。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操作步骤：</w:t>
      </w:r>
    </w:p>
    <w:p>
      <w:pPr>
        <w:numPr>
          <w:ilvl w:val="0"/>
          <w:numId w:val="4"/>
        </w:num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在解密时间内插入CA锁，输入密码，进行解密；务必在规定时间内完成解密。解密时间已到不可解密；请提前准备好CA锁。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温馨提示</w:t>
      </w:r>
      <w:r>
        <w:rPr>
          <w:rFonts w:hint="eastAsia" w:ascii="宋体" w:hAnsi="宋体" w:eastAsia="宋体" w:cs="宋体"/>
          <w:sz w:val="24"/>
          <w:szCs w:val="24"/>
        </w:rPr>
        <w:t>：如出现投标人开标解密失败处理原则如下：技术人员现场初步判断，如技术（系统、网络）原因，现场排除解决，需延长解密时限的由招标人确认延长时限；非技术原因解密失败，技术人员排除系统、网络问题后如仍不能解密，则不能解密的投标文件视为无效投标文件，由相应投标人自行承担责任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42560" cy="2948940"/>
            <wp:effectExtent l="0" t="0" r="0" b="3810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9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sz w:val="24"/>
          <w:szCs w:val="24"/>
        </w:rPr>
        <w:t>解密状态显示对应的解密情况，当前单位只会显示“我的投标文件”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；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342515"/>
            <wp:effectExtent l="0" t="0" r="25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Cs/>
          <w:sz w:val="24"/>
          <w:szCs w:val="24"/>
        </w:rPr>
      </w:pPr>
      <w:bookmarkStart w:id="17" w:name="_Toc9000"/>
      <w:r>
        <w:rPr>
          <w:rFonts w:hint="eastAsia" w:ascii="宋体" w:hAnsi="宋体" w:eastAsia="宋体" w:cs="宋体"/>
          <w:bCs/>
          <w:sz w:val="24"/>
          <w:szCs w:val="24"/>
        </w:rPr>
        <w:t>唱标（无需投标单位操作）</w:t>
      </w:r>
      <w:bookmarkEnd w:id="17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观看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唱标内容</w:t>
      </w:r>
      <w:r>
        <w:rPr>
          <w:rFonts w:hint="eastAsia" w:ascii="宋体" w:hAnsi="宋体" w:eastAsia="宋体" w:cs="宋体"/>
          <w:sz w:val="24"/>
          <w:szCs w:val="24"/>
        </w:rPr>
        <w:t>即可，有异议可点击“开标异议语音提问”或者“开启异议文字提问”方式提出异议；</w:t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Cs/>
          <w:sz w:val="24"/>
          <w:szCs w:val="24"/>
        </w:rPr>
      </w:pPr>
      <w:bookmarkStart w:id="18" w:name="_Toc14148"/>
      <w:bookmarkStart w:id="19" w:name="_Toc10460"/>
      <w:r>
        <w:rPr>
          <w:rFonts w:hint="eastAsia" w:ascii="宋体" w:hAnsi="宋体" w:eastAsia="宋体" w:cs="宋体"/>
          <w:bCs/>
          <w:sz w:val="24"/>
          <w:szCs w:val="24"/>
        </w:rPr>
        <w:t>语音异议</w:t>
      </w:r>
      <w:bookmarkEnd w:id="18"/>
      <w:bookmarkEnd w:id="19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公布投标人之后</w:t>
      </w:r>
      <w:r>
        <w:rPr>
          <w:rFonts w:hint="eastAsia" w:ascii="宋体" w:hAnsi="宋体" w:eastAsia="宋体" w:cs="宋体"/>
          <w:bCs/>
          <w:sz w:val="24"/>
          <w:szCs w:val="24"/>
        </w:rPr>
        <w:t>开标结束之前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bCs/>
          <w:sz w:val="24"/>
          <w:szCs w:val="24"/>
        </w:rPr>
        <w:t>投标人在开标过程中可以通过语音提问给主持人提问。</w:t>
      </w:r>
      <w:r>
        <w:rPr>
          <w:rFonts w:hint="eastAsia" w:ascii="宋体" w:hAnsi="宋体" w:eastAsia="宋体" w:cs="宋体"/>
          <w:sz w:val="24"/>
          <w:szCs w:val="24"/>
        </w:rPr>
        <w:t>点击“开标异议语音提问”发起语音提问申请；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374265"/>
            <wp:effectExtent l="0" t="0" r="254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发起之后，按钮变为“取消当前提问”，在主持人未接通前可以取消，取消之后，或者主持人回答完毕之后可再次提问；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28917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9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/>
          <w:bCs w:val="0"/>
          <w:sz w:val="24"/>
          <w:szCs w:val="24"/>
        </w:rPr>
      </w:pPr>
      <w:bookmarkStart w:id="20" w:name="_Toc16982"/>
      <w:r>
        <w:rPr>
          <w:rFonts w:hint="eastAsia" w:ascii="宋体" w:hAnsi="宋体" w:eastAsia="宋体" w:cs="宋体"/>
          <w:b/>
          <w:bCs w:val="0"/>
          <w:sz w:val="24"/>
          <w:szCs w:val="24"/>
        </w:rPr>
        <w:t>唱标确认（投标人操作）</w:t>
      </w:r>
      <w:bookmarkEnd w:id="20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主持人发起唱标确认指令之后，投标人页面会弹出唱标确认提示，在倒计时结束前点击确认，如倒计时完成后未确认的，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系统设置为默认确认。倒计时长：5分钟。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381885"/>
            <wp:effectExtent l="0" t="0" r="2540" b="0"/>
            <wp:docPr id="215" name="图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图片 2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/>
        <w:keepLines/>
        <w:numPr>
          <w:ilvl w:val="1"/>
          <w:numId w:val="2"/>
        </w:numPr>
        <w:tabs>
          <w:tab w:val="left" w:pos="567"/>
        </w:tabs>
        <w:spacing w:before="120" w:after="120" w:line="360" w:lineRule="auto"/>
        <w:ind w:firstLineChars="0"/>
        <w:outlineLvl w:val="1"/>
        <w:rPr>
          <w:rFonts w:hint="eastAsia" w:ascii="宋体" w:hAnsi="宋体" w:eastAsia="宋体" w:cs="宋体"/>
          <w:b/>
          <w:bCs w:val="0"/>
          <w:sz w:val="24"/>
          <w:szCs w:val="24"/>
        </w:rPr>
      </w:pPr>
      <w:bookmarkStart w:id="21" w:name="_Toc3286"/>
      <w:bookmarkStart w:id="22" w:name="_Toc16205"/>
      <w:r>
        <w:rPr>
          <w:rFonts w:hint="eastAsia" w:ascii="宋体" w:hAnsi="宋体" w:eastAsia="宋体" w:cs="宋体"/>
          <w:b/>
          <w:bCs w:val="0"/>
          <w:sz w:val="24"/>
          <w:szCs w:val="24"/>
        </w:rPr>
        <w:t>开标结束</w:t>
      </w:r>
      <w:bookmarkEnd w:id="21"/>
      <w:bookmarkEnd w:id="22"/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投标单位可查看、下载开标一览表，或自行退出标段；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274310" cy="2304415"/>
            <wp:effectExtent l="0" t="0" r="2540" b="635"/>
            <wp:docPr id="216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图片 2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1B7B88"/>
    <w:multiLevelType w:val="singleLevel"/>
    <w:tmpl w:val="811B7B88"/>
    <w:lvl w:ilvl="0" w:tentative="0">
      <w:start w:val="1"/>
      <w:numFmt w:val="decimal"/>
      <w:suff w:val="space"/>
      <w:lvlText w:val="%1、"/>
      <w:lvlJc w:val="left"/>
    </w:lvl>
  </w:abstractNum>
  <w:abstractNum w:abstractNumId="1">
    <w:nsid w:val="0FE9633F"/>
    <w:multiLevelType w:val="singleLevel"/>
    <w:tmpl w:val="0FE9633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46735E41"/>
    <w:multiLevelType w:val="multilevel"/>
    <w:tmpl w:val="46735E41"/>
    <w:lvl w:ilvl="0" w:tentative="0">
      <w:start w:val="3"/>
      <w:numFmt w:val="decimal"/>
      <w:lvlText w:val="%1"/>
      <w:lvlJc w:val="left"/>
      <w:pPr>
        <w:ind w:left="384" w:hanging="384"/>
      </w:pPr>
      <w:rPr>
        <w:rFonts w:hint="default"/>
      </w:rPr>
    </w:lvl>
    <w:lvl w:ilvl="1" w:tentative="0">
      <w:start w:val="1"/>
      <w:numFmt w:val="decimal"/>
      <w:lvlText w:val="%1.%2"/>
      <w:lvlJc w:val="left"/>
      <w:pPr>
        <w:ind w:left="1145" w:hanging="720"/>
      </w:pPr>
      <w:rPr>
        <w:rFonts w:hint="default"/>
      </w:rPr>
    </w:lvl>
    <w:lvl w:ilvl="2" w:tentative="0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2355" w:hanging="108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3565" w:hanging="144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4350" w:hanging="180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4775" w:hanging="180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5560" w:hanging="2160"/>
      </w:pPr>
      <w:rPr>
        <w:rFonts w:hint="default"/>
      </w:rPr>
    </w:lvl>
  </w:abstractNum>
  <w:abstractNum w:abstractNumId="3">
    <w:nsid w:val="4E6D15E7"/>
    <w:multiLevelType w:val="singleLevel"/>
    <w:tmpl w:val="4E6D15E7"/>
    <w:lvl w:ilvl="0" w:tentative="0">
      <w:start w:val="1"/>
      <w:numFmt w:val="decimal"/>
      <w:suff w:val="space"/>
      <w:lvlText w:val="%1、"/>
      <w:lvlJc w:val="left"/>
    </w:lvl>
  </w:abstractNum>
  <w:abstractNum w:abstractNumId="4">
    <w:nsid w:val="630F77CA"/>
    <w:multiLevelType w:val="multilevel"/>
    <w:tmpl w:val="630F77CA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diYzE0YzBhOTVhMjZmNmM5Y2RiZGY0MDJlMDNkZDcifQ=="/>
  </w:docVars>
  <w:rsids>
    <w:rsidRoot w:val="002141FB"/>
    <w:rsid w:val="00005D9C"/>
    <w:rsid w:val="00024560"/>
    <w:rsid w:val="00032A3E"/>
    <w:rsid w:val="000344BC"/>
    <w:rsid w:val="00090730"/>
    <w:rsid w:val="000954E3"/>
    <w:rsid w:val="00095754"/>
    <w:rsid w:val="000A26D5"/>
    <w:rsid w:val="000C0BA0"/>
    <w:rsid w:val="000E5055"/>
    <w:rsid w:val="000E57EF"/>
    <w:rsid w:val="000F6F39"/>
    <w:rsid w:val="00100CEB"/>
    <w:rsid w:val="0010436D"/>
    <w:rsid w:val="0010750C"/>
    <w:rsid w:val="00115CE3"/>
    <w:rsid w:val="00162E75"/>
    <w:rsid w:val="001853E6"/>
    <w:rsid w:val="00193585"/>
    <w:rsid w:val="001C2401"/>
    <w:rsid w:val="001F56F9"/>
    <w:rsid w:val="00212D2D"/>
    <w:rsid w:val="002141FB"/>
    <w:rsid w:val="00232358"/>
    <w:rsid w:val="00240E27"/>
    <w:rsid w:val="00252C3F"/>
    <w:rsid w:val="0027051D"/>
    <w:rsid w:val="00275054"/>
    <w:rsid w:val="00275148"/>
    <w:rsid w:val="002801EF"/>
    <w:rsid w:val="002A6B83"/>
    <w:rsid w:val="002C2048"/>
    <w:rsid w:val="002C782C"/>
    <w:rsid w:val="002E38E9"/>
    <w:rsid w:val="002E59C5"/>
    <w:rsid w:val="002F507A"/>
    <w:rsid w:val="00305D5B"/>
    <w:rsid w:val="00343F34"/>
    <w:rsid w:val="00347C16"/>
    <w:rsid w:val="00353BE7"/>
    <w:rsid w:val="003573BF"/>
    <w:rsid w:val="00370883"/>
    <w:rsid w:val="00392999"/>
    <w:rsid w:val="003B3D80"/>
    <w:rsid w:val="003C58B3"/>
    <w:rsid w:val="003E611C"/>
    <w:rsid w:val="00401B22"/>
    <w:rsid w:val="00424400"/>
    <w:rsid w:val="00432A5A"/>
    <w:rsid w:val="00436D7B"/>
    <w:rsid w:val="00455D7D"/>
    <w:rsid w:val="00457FA8"/>
    <w:rsid w:val="004601CF"/>
    <w:rsid w:val="00485486"/>
    <w:rsid w:val="004923E6"/>
    <w:rsid w:val="004948F1"/>
    <w:rsid w:val="004B0222"/>
    <w:rsid w:val="004C567D"/>
    <w:rsid w:val="004D36F9"/>
    <w:rsid w:val="004D6FB3"/>
    <w:rsid w:val="004F4D56"/>
    <w:rsid w:val="005072B8"/>
    <w:rsid w:val="00544419"/>
    <w:rsid w:val="00544D16"/>
    <w:rsid w:val="0056388E"/>
    <w:rsid w:val="0056575C"/>
    <w:rsid w:val="00571BC9"/>
    <w:rsid w:val="00597BF4"/>
    <w:rsid w:val="005A260F"/>
    <w:rsid w:val="005B738B"/>
    <w:rsid w:val="005E2EB6"/>
    <w:rsid w:val="00602AA4"/>
    <w:rsid w:val="00605514"/>
    <w:rsid w:val="00606DA4"/>
    <w:rsid w:val="006168FA"/>
    <w:rsid w:val="00617A39"/>
    <w:rsid w:val="00697B1E"/>
    <w:rsid w:val="006A7B7A"/>
    <w:rsid w:val="006E04BA"/>
    <w:rsid w:val="006E4633"/>
    <w:rsid w:val="00702D07"/>
    <w:rsid w:val="007044A0"/>
    <w:rsid w:val="007123BA"/>
    <w:rsid w:val="00713760"/>
    <w:rsid w:val="00724E51"/>
    <w:rsid w:val="0073759B"/>
    <w:rsid w:val="007411DB"/>
    <w:rsid w:val="00763D5C"/>
    <w:rsid w:val="00767C36"/>
    <w:rsid w:val="00797449"/>
    <w:rsid w:val="007A649B"/>
    <w:rsid w:val="007B0BD9"/>
    <w:rsid w:val="007B4992"/>
    <w:rsid w:val="007D7023"/>
    <w:rsid w:val="007E4102"/>
    <w:rsid w:val="007F2CF3"/>
    <w:rsid w:val="00803F5B"/>
    <w:rsid w:val="0080722D"/>
    <w:rsid w:val="008179A3"/>
    <w:rsid w:val="008359C7"/>
    <w:rsid w:val="00841F47"/>
    <w:rsid w:val="00876AA8"/>
    <w:rsid w:val="00884330"/>
    <w:rsid w:val="00891925"/>
    <w:rsid w:val="008A0406"/>
    <w:rsid w:val="008A407F"/>
    <w:rsid w:val="008C66E1"/>
    <w:rsid w:val="008D20AB"/>
    <w:rsid w:val="008D63EF"/>
    <w:rsid w:val="008F0813"/>
    <w:rsid w:val="00947CDC"/>
    <w:rsid w:val="00985FD5"/>
    <w:rsid w:val="009A2AE4"/>
    <w:rsid w:val="009A7AB8"/>
    <w:rsid w:val="009B4B5A"/>
    <w:rsid w:val="009C2490"/>
    <w:rsid w:val="009C265D"/>
    <w:rsid w:val="00A11294"/>
    <w:rsid w:val="00A26AA3"/>
    <w:rsid w:val="00A51341"/>
    <w:rsid w:val="00A671E9"/>
    <w:rsid w:val="00AA468F"/>
    <w:rsid w:val="00AA4D3F"/>
    <w:rsid w:val="00AD12C7"/>
    <w:rsid w:val="00AD3BB8"/>
    <w:rsid w:val="00AF48EB"/>
    <w:rsid w:val="00AF62D3"/>
    <w:rsid w:val="00B34EE7"/>
    <w:rsid w:val="00B978C3"/>
    <w:rsid w:val="00BC62CF"/>
    <w:rsid w:val="00BD2036"/>
    <w:rsid w:val="00BE3D3C"/>
    <w:rsid w:val="00BE74EC"/>
    <w:rsid w:val="00BF6BDD"/>
    <w:rsid w:val="00C05B14"/>
    <w:rsid w:val="00C13A10"/>
    <w:rsid w:val="00C23B3D"/>
    <w:rsid w:val="00C27B24"/>
    <w:rsid w:val="00C3053A"/>
    <w:rsid w:val="00C4502C"/>
    <w:rsid w:val="00C457D4"/>
    <w:rsid w:val="00C7297A"/>
    <w:rsid w:val="00C90241"/>
    <w:rsid w:val="00CB4180"/>
    <w:rsid w:val="00CC58B8"/>
    <w:rsid w:val="00CE612D"/>
    <w:rsid w:val="00CE7B45"/>
    <w:rsid w:val="00D23034"/>
    <w:rsid w:val="00D24BBD"/>
    <w:rsid w:val="00D349C5"/>
    <w:rsid w:val="00D350CD"/>
    <w:rsid w:val="00D45385"/>
    <w:rsid w:val="00D574CE"/>
    <w:rsid w:val="00D85C5C"/>
    <w:rsid w:val="00DB1094"/>
    <w:rsid w:val="00DB32CF"/>
    <w:rsid w:val="00DE540F"/>
    <w:rsid w:val="00E20341"/>
    <w:rsid w:val="00E80098"/>
    <w:rsid w:val="00EB7E44"/>
    <w:rsid w:val="00EC0828"/>
    <w:rsid w:val="00EF385F"/>
    <w:rsid w:val="00EF7724"/>
    <w:rsid w:val="00F209A6"/>
    <w:rsid w:val="00FB3432"/>
    <w:rsid w:val="00FC43AC"/>
    <w:rsid w:val="00FC4AE3"/>
    <w:rsid w:val="051A35F3"/>
    <w:rsid w:val="07830DF3"/>
    <w:rsid w:val="090C4E18"/>
    <w:rsid w:val="0BCF2858"/>
    <w:rsid w:val="0D0E73B0"/>
    <w:rsid w:val="0F862124"/>
    <w:rsid w:val="110765F0"/>
    <w:rsid w:val="12951B39"/>
    <w:rsid w:val="15256002"/>
    <w:rsid w:val="158F12AA"/>
    <w:rsid w:val="19C204A0"/>
    <w:rsid w:val="1E01086B"/>
    <w:rsid w:val="1E0B4727"/>
    <w:rsid w:val="20511636"/>
    <w:rsid w:val="22F97BDA"/>
    <w:rsid w:val="36A06A1C"/>
    <w:rsid w:val="3A1F40FB"/>
    <w:rsid w:val="3ACB21DC"/>
    <w:rsid w:val="3E263CAA"/>
    <w:rsid w:val="3ECF0DED"/>
    <w:rsid w:val="3EF66B94"/>
    <w:rsid w:val="40095632"/>
    <w:rsid w:val="44857E88"/>
    <w:rsid w:val="46F26E20"/>
    <w:rsid w:val="47B36031"/>
    <w:rsid w:val="4DAE7818"/>
    <w:rsid w:val="51C8534D"/>
    <w:rsid w:val="57174680"/>
    <w:rsid w:val="59710078"/>
    <w:rsid w:val="5B697B78"/>
    <w:rsid w:val="5BDE39BF"/>
    <w:rsid w:val="5E731E5F"/>
    <w:rsid w:val="5EA062A0"/>
    <w:rsid w:val="5F6441DB"/>
    <w:rsid w:val="65A105FE"/>
    <w:rsid w:val="66270DFA"/>
    <w:rsid w:val="6685272F"/>
    <w:rsid w:val="688F051A"/>
    <w:rsid w:val="74C72DEA"/>
    <w:rsid w:val="76A333E3"/>
    <w:rsid w:val="7E81225C"/>
    <w:rsid w:val="7E8A7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4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unhideWhenUsed/>
    <w:qFormat/>
    <w:uiPriority w:val="39"/>
  </w:style>
  <w:style w:type="paragraph" w:styleId="8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1">
    <w:name w:val="Hyperlink"/>
    <w:basedOn w:val="10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批注框文本 Char"/>
    <w:basedOn w:val="10"/>
    <w:link w:val="4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标题 1 Char"/>
    <w:basedOn w:val="10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5">
    <w:name w:val="页眉 Char"/>
    <w:basedOn w:val="10"/>
    <w:link w:val="6"/>
    <w:qFormat/>
    <w:uiPriority w:val="99"/>
    <w:rPr>
      <w:sz w:val="18"/>
      <w:szCs w:val="18"/>
    </w:rPr>
  </w:style>
  <w:style w:type="character" w:customStyle="1" w:styleId="16">
    <w:name w:val="页脚 Char"/>
    <w:basedOn w:val="10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11</Pages>
  <Words>1493</Words>
  <Characters>1593</Characters>
  <Lines>30</Lines>
  <Paragraphs>8</Paragraphs>
  <TotalTime>4</TotalTime>
  <ScaleCrop>false</ScaleCrop>
  <LinksUpToDate>false</LinksUpToDate>
  <CharactersWithSpaces>1759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2023-01-30T07:44:00Z</dcterms:created>
  <dc:creator>刘一</dc:creator>
  <cp:lastModifiedBy></cp:lastModifiedBy>
  <cp:lastPrinted>2023-01-30T07:41:00Z</cp:lastPrinted>
  <dcterms:modified xsi:type="dcterms:W3CDTF">2023-11-27T03:11:31Z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78E20A5070824BF7BD3483F675099748</vt:lpwstr>
  </property>
</Properties>
</file>