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/>
    <w:p/>
    <w:p/>
    <w:p>
      <w:r>
        <w:drawing>
          <wp:inline distT="0" distB="0" distL="114300" distR="114300">
            <wp:extent cx="5271135" cy="1755140"/>
            <wp:effectExtent l="0" t="0" r="5715" b="1651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75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pPr>
        <w:jc w:val="center"/>
        <w:outlineLvl w:val="0"/>
        <w:rPr>
          <w:rFonts w:asciiTheme="majorEastAsia" w:hAnsiTheme="majorEastAsia" w:eastAsiaTheme="majorEastAsia"/>
          <w:b/>
          <w:sz w:val="32"/>
          <w:szCs w:val="32"/>
        </w:rPr>
      </w:pPr>
      <w:bookmarkStart w:id="0" w:name="_Toc7114"/>
      <w:r>
        <w:rPr>
          <w:rFonts w:hint="eastAsia" w:asciiTheme="majorEastAsia" w:hAnsiTheme="majorEastAsia" w:eastAsiaTheme="majorEastAsia"/>
          <w:b/>
          <w:sz w:val="32"/>
          <w:szCs w:val="32"/>
          <w:lang w:val="en-US" w:eastAsia="zh-CN"/>
        </w:rPr>
        <w:t>工程建设网上开标</w:t>
      </w:r>
      <w:r>
        <w:rPr>
          <w:rFonts w:hint="eastAsia" w:asciiTheme="majorEastAsia" w:hAnsiTheme="majorEastAsia" w:eastAsiaTheme="majorEastAsia"/>
          <w:b/>
          <w:sz w:val="32"/>
          <w:szCs w:val="32"/>
        </w:rPr>
        <w:t>操作</w:t>
      </w:r>
      <w:r>
        <w:rPr>
          <w:rFonts w:hint="eastAsia" w:asciiTheme="majorEastAsia" w:hAnsiTheme="majorEastAsia" w:eastAsiaTheme="majorEastAsia"/>
          <w:b/>
          <w:sz w:val="32"/>
          <w:szCs w:val="32"/>
          <w:lang w:val="en-US" w:eastAsia="zh-CN"/>
        </w:rPr>
        <w:t>指南</w:t>
      </w:r>
      <w:bookmarkEnd w:id="0"/>
    </w:p>
    <w:p>
      <w:pPr>
        <w:jc w:val="center"/>
        <w:rPr>
          <w:rFonts w:asciiTheme="majorEastAsia" w:hAnsiTheme="majorEastAsia" w:eastAsiaTheme="majorEastAsia"/>
          <w:b/>
          <w:sz w:val="32"/>
          <w:szCs w:val="32"/>
        </w:rPr>
      </w:pPr>
      <w:r>
        <w:rPr>
          <w:rFonts w:hint="eastAsia" w:asciiTheme="majorEastAsia" w:hAnsiTheme="majorEastAsia" w:eastAsiaTheme="majorEastAsia"/>
          <w:b/>
          <w:sz w:val="32"/>
          <w:szCs w:val="32"/>
        </w:rPr>
        <w:t>（招标代理）</w:t>
      </w: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rFonts w:asciiTheme="majorEastAsia" w:hAnsiTheme="majorEastAsia" w:eastAsiaTheme="majorEastAsia"/>
          <w:b/>
          <w:sz w:val="32"/>
          <w:szCs w:val="32"/>
        </w:rPr>
      </w:pPr>
    </w:p>
    <w:p>
      <w:pPr>
        <w:jc w:val="center"/>
        <w:rPr>
          <w:rFonts w:asciiTheme="majorEastAsia" w:hAnsiTheme="majorEastAsia" w:eastAsiaTheme="majorEastAsia"/>
          <w:b/>
          <w:sz w:val="32"/>
          <w:szCs w:val="32"/>
        </w:rPr>
      </w:pPr>
      <w:r>
        <w:rPr>
          <w:rFonts w:hint="eastAsia" w:asciiTheme="majorEastAsia" w:hAnsiTheme="majorEastAsia" w:eastAsiaTheme="majorEastAsia"/>
          <w:b/>
          <w:sz w:val="32"/>
          <w:szCs w:val="32"/>
        </w:rPr>
        <w:t>202</w:t>
      </w:r>
      <w:r>
        <w:rPr>
          <w:rFonts w:hint="eastAsia" w:asciiTheme="majorEastAsia" w:hAnsiTheme="majorEastAsia" w:eastAsiaTheme="majorEastAsia"/>
          <w:b/>
          <w:sz w:val="32"/>
          <w:szCs w:val="32"/>
          <w:lang w:val="en-US" w:eastAsia="zh-CN"/>
        </w:rPr>
        <w:t>3</w:t>
      </w:r>
      <w:r>
        <w:rPr>
          <w:rFonts w:hint="eastAsia" w:asciiTheme="majorEastAsia" w:hAnsiTheme="majorEastAsia" w:eastAsiaTheme="majorEastAsia"/>
          <w:b/>
          <w:sz w:val="32"/>
          <w:szCs w:val="32"/>
        </w:rPr>
        <w:t>年</w:t>
      </w:r>
      <w:r>
        <w:rPr>
          <w:rFonts w:hint="eastAsia" w:asciiTheme="majorEastAsia" w:hAnsiTheme="majorEastAsia" w:eastAsiaTheme="majorEastAsia"/>
          <w:b/>
          <w:sz w:val="32"/>
          <w:szCs w:val="32"/>
          <w:lang w:val="en-US" w:eastAsia="zh-CN"/>
        </w:rPr>
        <w:t>1</w:t>
      </w:r>
      <w:r>
        <w:rPr>
          <w:rFonts w:hint="eastAsia" w:asciiTheme="majorEastAsia" w:hAnsiTheme="majorEastAsia" w:eastAsiaTheme="majorEastAsia"/>
          <w:b/>
          <w:sz w:val="32"/>
          <w:szCs w:val="32"/>
        </w:rPr>
        <w:t>月</w:t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sdt>
      <w:sdtPr>
        <w:rPr>
          <w:rFonts w:ascii="宋体" w:hAnsi="宋体" w:eastAsia="宋体"/>
        </w:rPr>
        <w:id w:val="147465115"/>
        <w15:color w:val="DBDBDB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/>
          <w:szCs w:val="44"/>
        </w:rPr>
      </w:sdtEndPr>
      <w:sdtContent>
        <w:p>
          <w:pPr>
            <w:jc w:val="center"/>
          </w:pPr>
          <w:r>
            <w:rPr>
              <w:rFonts w:ascii="宋体" w:hAnsi="宋体" w:eastAsia="宋体"/>
            </w:rPr>
            <w:t>目录</w:t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sz w:val="44"/>
              <w:szCs w:val="44"/>
            </w:rPr>
            <w:fldChar w:fldCharType="begin"/>
          </w:r>
          <w:r>
            <w:rPr>
              <w:sz w:val="44"/>
              <w:szCs w:val="44"/>
            </w:rPr>
            <w:instrText xml:space="preserve">TOC \o "1-3" \h \u </w:instrText>
          </w:r>
          <w:r>
            <w:rPr>
              <w:sz w:val="44"/>
              <w:szCs w:val="44"/>
            </w:rPr>
            <w:fldChar w:fldCharType="separate"/>
          </w:r>
          <w:r>
            <w:rPr>
              <w:szCs w:val="44"/>
            </w:rPr>
            <w:fldChar w:fldCharType="begin"/>
          </w:r>
          <w:r>
            <w:rPr>
              <w:szCs w:val="44"/>
            </w:rPr>
            <w:instrText xml:space="preserve"> HYPERLINK \l _Toc7114 </w:instrText>
          </w:r>
          <w:r>
            <w:rPr>
              <w:szCs w:val="44"/>
            </w:rPr>
            <w:fldChar w:fldCharType="separate"/>
          </w:r>
          <w:r>
            <w:rPr>
              <w:rFonts w:hint="eastAsia" w:asciiTheme="majorEastAsia" w:hAnsiTheme="majorEastAsia" w:eastAsiaTheme="majorEastAsia"/>
              <w:szCs w:val="32"/>
              <w:lang w:val="en-US" w:eastAsia="zh-CN"/>
            </w:rPr>
            <w:t>工程建设网上开标</w:t>
          </w:r>
          <w:r>
            <w:rPr>
              <w:rFonts w:hint="eastAsia" w:asciiTheme="majorEastAsia" w:hAnsiTheme="majorEastAsia" w:eastAsiaTheme="majorEastAsia"/>
              <w:szCs w:val="32"/>
            </w:rPr>
            <w:t>操作</w:t>
          </w:r>
          <w:r>
            <w:rPr>
              <w:rFonts w:hint="eastAsia" w:asciiTheme="majorEastAsia" w:hAnsiTheme="majorEastAsia" w:eastAsiaTheme="majorEastAsia"/>
              <w:szCs w:val="32"/>
              <w:lang w:val="en-US" w:eastAsia="zh-CN"/>
            </w:rPr>
            <w:t>指南</w:t>
          </w:r>
          <w:r>
            <w:tab/>
          </w:r>
          <w:r>
            <w:fldChar w:fldCharType="begin"/>
          </w:r>
          <w:r>
            <w:instrText xml:space="preserve"> PAGEREF _Toc7114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szCs w:val="44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szCs w:val="44"/>
            </w:rPr>
            <w:fldChar w:fldCharType="begin"/>
          </w:r>
          <w:r>
            <w:rPr>
              <w:szCs w:val="44"/>
            </w:rPr>
            <w:instrText xml:space="preserve"> HYPERLINK \l _Toc3320 </w:instrText>
          </w:r>
          <w:r>
            <w:rPr>
              <w:szCs w:val="44"/>
            </w:rPr>
            <w:fldChar w:fldCharType="separate"/>
          </w:r>
          <w:r>
            <w:rPr>
              <w:rFonts w:hint="default" w:ascii="宋体" w:hAnsi="宋体" w:eastAsia="宋体" w:cs="宋体"/>
              <w:bCs/>
              <w:kern w:val="44"/>
              <w:szCs w:val="24"/>
            </w:rPr>
            <w:t xml:space="preserve">一、 </w:t>
          </w:r>
          <w:r>
            <w:rPr>
              <w:rFonts w:hint="eastAsia" w:ascii="宋体" w:hAnsi="宋体" w:eastAsia="宋体" w:cs="宋体"/>
              <w:bCs/>
              <w:kern w:val="44"/>
              <w:szCs w:val="24"/>
              <w:lang w:val="en-US" w:eastAsia="zh-CN"/>
            </w:rPr>
            <w:t>使用准备</w:t>
          </w:r>
          <w:r>
            <w:tab/>
          </w:r>
          <w:r>
            <w:fldChar w:fldCharType="begin"/>
          </w:r>
          <w:r>
            <w:instrText xml:space="preserve"> PAGEREF _Toc3320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szCs w:val="44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szCs w:val="44"/>
            </w:rPr>
            <w:fldChar w:fldCharType="begin"/>
          </w:r>
          <w:r>
            <w:rPr>
              <w:szCs w:val="44"/>
            </w:rPr>
            <w:instrText xml:space="preserve"> HYPERLINK \l _Toc17297 </w:instrText>
          </w:r>
          <w:r>
            <w:rPr>
              <w:szCs w:val="44"/>
            </w:rPr>
            <w:fldChar w:fldCharType="separate"/>
          </w:r>
          <w:r>
            <w:rPr>
              <w:rFonts w:hint="default" w:ascii="宋体" w:hAnsi="宋体" w:eastAsia="宋体" w:cs="宋体"/>
              <w:bCs/>
              <w:kern w:val="44"/>
              <w:szCs w:val="24"/>
            </w:rPr>
            <w:t xml:space="preserve">二、 </w:t>
          </w:r>
          <w:r>
            <w:rPr>
              <w:rFonts w:hint="eastAsia" w:ascii="宋体" w:hAnsi="宋体" w:eastAsia="宋体" w:cs="宋体"/>
              <w:bCs/>
              <w:kern w:val="44"/>
              <w:szCs w:val="24"/>
            </w:rPr>
            <w:t>系统登录</w:t>
          </w:r>
          <w:r>
            <w:tab/>
          </w:r>
          <w:r>
            <w:fldChar w:fldCharType="begin"/>
          </w:r>
          <w:r>
            <w:instrText xml:space="preserve"> PAGEREF _Toc17297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szCs w:val="44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szCs w:val="44"/>
            </w:rPr>
            <w:fldChar w:fldCharType="begin"/>
          </w:r>
          <w:r>
            <w:rPr>
              <w:szCs w:val="44"/>
            </w:rPr>
            <w:instrText xml:space="preserve"> HYPERLINK \l _Toc31180 </w:instrText>
          </w:r>
          <w:r>
            <w:rPr>
              <w:szCs w:val="44"/>
            </w:rPr>
            <w:fldChar w:fldCharType="separate"/>
          </w:r>
          <w:r>
            <w:rPr>
              <w:rFonts w:hint="default" w:ascii="仿宋" w:hAnsi="仿宋" w:eastAsia="仿宋" w:cs="仿宋"/>
              <w:bCs/>
              <w:kern w:val="44"/>
              <w:szCs w:val="28"/>
            </w:rPr>
            <w:t xml:space="preserve">三、 </w:t>
          </w:r>
          <w:r>
            <w:rPr>
              <w:rFonts w:hint="eastAsia" w:ascii="仿宋" w:hAnsi="仿宋" w:eastAsia="仿宋" w:cs="仿宋"/>
              <w:bCs/>
              <w:kern w:val="44"/>
              <w:szCs w:val="28"/>
            </w:rPr>
            <w:t>开标准备（以工业项目为例）</w:t>
          </w:r>
          <w:r>
            <w:tab/>
          </w:r>
          <w:r>
            <w:fldChar w:fldCharType="begin"/>
          </w:r>
          <w:r>
            <w:instrText xml:space="preserve"> PAGEREF _Toc31180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szCs w:val="44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szCs w:val="44"/>
            </w:rPr>
            <w:fldChar w:fldCharType="begin"/>
          </w:r>
          <w:r>
            <w:rPr>
              <w:szCs w:val="44"/>
            </w:rPr>
            <w:instrText xml:space="preserve"> HYPERLINK \l _Toc8122 </w:instrText>
          </w:r>
          <w:r>
            <w:rPr>
              <w:szCs w:val="44"/>
            </w:rPr>
            <w:fldChar w:fldCharType="separate"/>
          </w:r>
          <w:r>
            <w:rPr>
              <w:rFonts w:hint="default" w:ascii="仿宋" w:hAnsi="仿宋" w:eastAsia="仿宋" w:cs="仿宋"/>
              <w:bCs/>
              <w:kern w:val="44"/>
              <w:szCs w:val="28"/>
            </w:rPr>
            <w:t xml:space="preserve">四、 </w:t>
          </w:r>
          <w:r>
            <w:rPr>
              <w:rFonts w:hint="eastAsia" w:ascii="仿宋" w:hAnsi="仿宋" w:eastAsia="仿宋" w:cs="仿宋"/>
              <w:bCs/>
              <w:kern w:val="44"/>
              <w:szCs w:val="28"/>
            </w:rPr>
            <w:t>开标操作</w:t>
          </w:r>
          <w:r>
            <w:tab/>
          </w:r>
          <w:r>
            <w:fldChar w:fldCharType="begin"/>
          </w:r>
          <w:r>
            <w:instrText xml:space="preserve"> PAGEREF _Toc8122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szCs w:val="44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szCs w:val="44"/>
            </w:rPr>
            <w:fldChar w:fldCharType="begin"/>
          </w:r>
          <w:r>
            <w:rPr>
              <w:szCs w:val="44"/>
            </w:rPr>
            <w:instrText xml:space="preserve"> HYPERLINK \l _Toc4101 </w:instrText>
          </w:r>
          <w:r>
            <w:rPr>
              <w:szCs w:val="44"/>
            </w:rPr>
            <w:fldChar w:fldCharType="separate"/>
          </w:r>
          <w:r>
            <w:rPr>
              <w:rFonts w:hint="default" w:ascii="仿宋" w:hAnsi="仿宋" w:eastAsia="仿宋" w:cs="仿宋"/>
              <w:bCs/>
              <w:kern w:val="44"/>
              <w:szCs w:val="28"/>
            </w:rPr>
            <w:t xml:space="preserve">五、 </w:t>
          </w:r>
          <w:r>
            <w:rPr>
              <w:rFonts w:hint="eastAsia" w:ascii="仿宋" w:hAnsi="仿宋" w:eastAsia="仿宋" w:cs="仿宋"/>
              <w:bCs/>
              <w:kern w:val="44"/>
              <w:szCs w:val="28"/>
            </w:rPr>
            <w:t>开标后系统操作</w:t>
          </w:r>
          <w:r>
            <w:tab/>
          </w:r>
          <w:r>
            <w:fldChar w:fldCharType="begin"/>
          </w:r>
          <w:r>
            <w:instrText xml:space="preserve"> PAGEREF _Toc4101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szCs w:val="44"/>
            </w:rPr>
            <w:fldChar w:fldCharType="end"/>
          </w:r>
        </w:p>
        <w:p>
          <w:pPr>
            <w:jc w:val="center"/>
            <w:rPr>
              <w:sz w:val="44"/>
              <w:szCs w:val="44"/>
            </w:rPr>
            <w:sectPr>
              <w:pgSz w:w="11906" w:h="16838"/>
              <w:pgMar w:top="1440" w:right="1800" w:bottom="1440" w:left="1800" w:header="851" w:footer="992" w:gutter="0"/>
              <w:cols w:space="425" w:num="1"/>
              <w:docGrid w:type="lines" w:linePitch="312" w:charSpace="0"/>
            </w:sectPr>
          </w:pPr>
          <w:r>
            <w:rPr>
              <w:szCs w:val="44"/>
            </w:rPr>
            <w:fldChar w:fldCharType="end"/>
          </w:r>
        </w:p>
      </w:sdtContent>
    </w:sdt>
    <w:p>
      <w:pPr>
        <w:pStyle w:val="18"/>
        <w:keepNext/>
        <w:keepLines/>
        <w:numPr>
          <w:ilvl w:val="0"/>
          <w:numId w:val="1"/>
        </w:numPr>
        <w:tabs>
          <w:tab w:val="left" w:pos="425"/>
        </w:tabs>
        <w:spacing w:before="120" w:after="120" w:line="360" w:lineRule="auto"/>
        <w:ind w:firstLineChars="0"/>
        <w:outlineLvl w:val="0"/>
        <w:rPr>
          <w:rFonts w:hint="eastAsia" w:ascii="宋体" w:hAnsi="宋体" w:eastAsia="宋体" w:cs="宋体"/>
          <w:bCs/>
          <w:kern w:val="44"/>
          <w:sz w:val="24"/>
          <w:szCs w:val="24"/>
        </w:rPr>
      </w:pPr>
      <w:bookmarkStart w:id="1" w:name="_Toc3830"/>
      <w:bookmarkStart w:id="2" w:name="_Toc23604"/>
      <w:bookmarkStart w:id="3" w:name="_Toc3320"/>
      <w:bookmarkStart w:id="4" w:name="_Toc97"/>
      <w:bookmarkStart w:id="10" w:name="_GoBack"/>
      <w:r>
        <w:rPr>
          <w:rFonts w:hint="eastAsia" w:ascii="宋体" w:hAnsi="宋体" w:eastAsia="宋体" w:cs="宋体"/>
          <w:bCs/>
          <w:kern w:val="44"/>
          <w:sz w:val="24"/>
          <w:szCs w:val="24"/>
          <w:lang w:val="en-US" w:eastAsia="zh-CN"/>
        </w:rPr>
        <w:t>使用准备</w:t>
      </w:r>
      <w:bookmarkEnd w:id="1"/>
      <w:bookmarkEnd w:id="2"/>
      <w:bookmarkEnd w:id="3"/>
    </w:p>
    <w:p>
      <w:pPr>
        <w:bidi w:val="0"/>
        <w:spacing w:line="360" w:lineRule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 w:val="0"/>
          <w:bCs w:val="0"/>
          <w:color w:val="000000" w:themeColor="text1"/>
          <w:kern w:val="2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 详见《湖南省公共资源交易中心-电子交易系统使用准备操作指南》，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2"/>
          <w:sz w:val="24"/>
          <w:szCs w:val="24"/>
          <w14:textFill>
            <w14:solidFill>
              <w14:schemeClr w14:val="tx1"/>
            </w14:solidFill>
          </w14:textFill>
        </w:rPr>
        <w:t>登录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2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2"/>
          <w:sz w:val="24"/>
          <w:szCs w:val="24"/>
          <w14:textFill>
            <w14:solidFill>
              <w14:schemeClr w14:val="tx1"/>
            </w14:solidFill>
          </w14:textFill>
        </w:rPr>
        <w:t>湖南省公共资源交易中心网站（http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2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2"/>
          <w:sz w:val="24"/>
          <w:szCs w:val="24"/>
          <w14:textFill>
            <w14:solidFill>
              <w14:schemeClr w14:val="tx1"/>
            </w14:solidFill>
          </w14:textFill>
        </w:rPr>
        <w:t>://ggzy.hunan.gov.cn/）-下载中心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kern w:val="2"/>
          <w:sz w:val="24"/>
          <w:szCs w:val="24"/>
          <w:u w:val="none"/>
          <w:lang w:eastAsia="zh-CN"/>
          <w14:textFill>
            <w14:solidFill>
              <w14:schemeClr w14:val="tx1"/>
            </w14:solidFill>
          </w14:textFill>
        </w:rPr>
        <w:t>”</w:t>
      </w:r>
      <w:bookmarkEnd w:id="4"/>
      <w:r>
        <w:rPr>
          <w:rStyle w:val="12"/>
          <w:rFonts w:hint="eastAsia" w:ascii="宋体" w:hAnsi="宋体" w:eastAsia="宋体" w:cs="宋体"/>
          <w:color w:val="000000" w:themeColor="text1"/>
          <w:kern w:val="0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获取。</w:t>
      </w:r>
    </w:p>
    <w:p>
      <w:pPr>
        <w:pStyle w:val="18"/>
        <w:keepNext/>
        <w:keepLines/>
        <w:numPr>
          <w:ilvl w:val="0"/>
          <w:numId w:val="1"/>
        </w:numPr>
        <w:tabs>
          <w:tab w:val="left" w:pos="425"/>
        </w:tabs>
        <w:spacing w:before="120" w:after="120" w:line="360" w:lineRule="auto"/>
        <w:ind w:firstLineChars="0"/>
        <w:outlineLvl w:val="0"/>
        <w:rPr>
          <w:rFonts w:hint="eastAsia" w:ascii="宋体" w:hAnsi="宋体" w:eastAsia="宋体" w:cs="宋体"/>
          <w:bCs/>
          <w:kern w:val="44"/>
          <w:sz w:val="24"/>
          <w:szCs w:val="24"/>
        </w:rPr>
      </w:pPr>
      <w:bookmarkStart w:id="5" w:name="_Toc32732"/>
      <w:bookmarkStart w:id="6" w:name="_Toc17297"/>
      <w:r>
        <w:rPr>
          <w:rFonts w:hint="eastAsia" w:ascii="宋体" w:hAnsi="宋体" w:eastAsia="宋体" w:cs="宋体"/>
          <w:bCs/>
          <w:kern w:val="44"/>
          <w:sz w:val="24"/>
          <w:szCs w:val="24"/>
        </w:rPr>
        <w:t>系统登录</w:t>
      </w:r>
      <w:bookmarkEnd w:id="5"/>
      <w:bookmarkEnd w:id="6"/>
    </w:p>
    <w:p>
      <w:pPr>
        <w:spacing w:line="360" w:lineRule="auto"/>
        <w:ind w:firstLine="360" w:firstLineChars="15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方法一：登录湖南省公共资源交易服务平台（https://www.hnsggzy.com/）(可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浏览器关键字</w:t>
      </w:r>
      <w:r>
        <w:rPr>
          <w:rFonts w:hint="eastAsia" w:ascii="宋体" w:hAnsi="宋体" w:eastAsia="宋体" w:cs="宋体"/>
          <w:sz w:val="24"/>
          <w:szCs w:val="24"/>
        </w:rPr>
        <w:t>搜索)，打开网上办事大厅-网上开标，进入登录页面，通过CA或用户名密码登录。</w:t>
      </w: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2853690"/>
            <wp:effectExtent l="0" t="0" r="254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2402840"/>
            <wp:effectExtent l="0" t="0" r="2540" b="1651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360" w:firstLineChars="15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方法二：登录湖南省公共资源交易中心网站（http://www.hnsdzjy.com/），打开网上开标，进入登录页面，通过CA、用户名密码登录。</w:t>
      </w: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2745105"/>
            <wp:effectExtent l="0" t="0" r="2540" b="171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2402840"/>
            <wp:effectExtent l="0" t="0" r="2540" b="1651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方法三：投标单位登录交易系统后，通过“不见面开标签到解密”菜单进入网上开标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大厅</w:t>
      </w:r>
      <w:r>
        <w:rPr>
          <w:rFonts w:hint="eastAsia" w:ascii="宋体" w:hAnsi="宋体" w:eastAsia="宋体" w:cs="宋体"/>
          <w:sz w:val="24"/>
          <w:szCs w:val="24"/>
        </w:rPr>
        <w:t>。</w:t>
      </w: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1869440"/>
            <wp:effectExtent l="0" t="0" r="2540" b="165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仿宋" w:hAnsi="仿宋" w:eastAsia="仿宋" w:cs="仿宋"/>
          <w:bCs/>
          <w:kern w:val="44"/>
          <w:sz w:val="28"/>
          <w:szCs w:val="28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2402840"/>
            <wp:effectExtent l="0" t="0" r="2540" b="1651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8"/>
        <w:keepNext/>
        <w:keepLines/>
        <w:numPr>
          <w:ilvl w:val="0"/>
          <w:numId w:val="1"/>
        </w:numPr>
        <w:tabs>
          <w:tab w:val="left" w:pos="425"/>
        </w:tabs>
        <w:spacing w:before="120" w:after="120" w:line="360" w:lineRule="auto"/>
        <w:ind w:firstLineChars="0"/>
        <w:outlineLvl w:val="0"/>
        <w:rPr>
          <w:rFonts w:ascii="仿宋" w:hAnsi="仿宋" w:eastAsia="仿宋" w:cs="仿宋"/>
          <w:b/>
          <w:bCs/>
          <w:kern w:val="44"/>
          <w:sz w:val="28"/>
          <w:szCs w:val="28"/>
        </w:rPr>
      </w:pPr>
      <w:bookmarkStart w:id="7" w:name="_Toc31180"/>
      <w:r>
        <w:rPr>
          <w:rFonts w:hint="eastAsia" w:ascii="仿宋" w:hAnsi="仿宋" w:eastAsia="仿宋" w:cs="仿宋"/>
          <w:b/>
          <w:bCs/>
          <w:kern w:val="44"/>
          <w:sz w:val="28"/>
          <w:szCs w:val="28"/>
        </w:rPr>
        <w:t>开标准备（以工业项目为例）</w:t>
      </w:r>
      <w:bookmarkEnd w:id="7"/>
    </w:p>
    <w:p>
      <w:pPr>
        <w:ind w:firstLine="42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开标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主持</w:t>
      </w:r>
      <w:r>
        <w:rPr>
          <w:rFonts w:hint="eastAsia" w:ascii="仿宋" w:hAnsi="仿宋" w:eastAsia="仿宋" w:cs="仿宋"/>
          <w:sz w:val="28"/>
          <w:szCs w:val="28"/>
        </w:rPr>
        <w:t>人登录不见面大厅开启直播控制及开启群聊，点击开启直播后，也需要把分享屏幕和开启摄像头。</w:t>
      </w:r>
    </w:p>
    <w:p>
      <w:pPr>
        <w:jc w:val="center"/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0" distR="0">
            <wp:extent cx="5278120" cy="28575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8"/>
        <w:keepNext/>
        <w:keepLines/>
        <w:numPr>
          <w:ilvl w:val="0"/>
          <w:numId w:val="1"/>
        </w:numPr>
        <w:tabs>
          <w:tab w:val="left" w:pos="425"/>
        </w:tabs>
        <w:spacing w:before="120" w:after="120" w:line="360" w:lineRule="auto"/>
        <w:ind w:firstLineChars="0"/>
        <w:outlineLvl w:val="0"/>
        <w:rPr>
          <w:rFonts w:ascii="仿宋" w:hAnsi="仿宋" w:eastAsia="仿宋" w:cs="仿宋"/>
          <w:b/>
          <w:bCs/>
          <w:kern w:val="44"/>
          <w:sz w:val="28"/>
          <w:szCs w:val="28"/>
        </w:rPr>
      </w:pPr>
      <w:bookmarkStart w:id="8" w:name="_Toc8122"/>
      <w:r>
        <w:rPr>
          <w:rFonts w:hint="eastAsia" w:ascii="仿宋" w:hAnsi="仿宋" w:eastAsia="仿宋" w:cs="仿宋"/>
          <w:b/>
          <w:bCs/>
          <w:kern w:val="44"/>
          <w:sz w:val="28"/>
          <w:szCs w:val="28"/>
        </w:rPr>
        <w:t>开标操作</w:t>
      </w:r>
      <w:bookmarkEnd w:id="8"/>
    </w:p>
    <w:p>
      <w:pPr>
        <w:ind w:firstLine="42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只需按照系统的操作按钮进行开标工作。</w:t>
      </w:r>
    </w:p>
    <w:p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（1）公布投标人：开标时间一到，点击公布投标人按钮</w:t>
      </w:r>
    </w:p>
    <w:p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0" distR="0">
            <wp:extent cx="5274310" cy="2225675"/>
            <wp:effectExtent l="0" t="0" r="2540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（2）公布投标人环节结束之后，点击下一阶段，确认解密时长（默认30分钟）可根据招标文件要求修改时长，进行保存之后在操作下一步</w:t>
      </w:r>
    </w:p>
    <w:p>
      <w:pPr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0" distR="0">
            <wp:extent cx="5656580" cy="3038475"/>
            <wp:effectExtent l="0" t="0" r="127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7859" cy="3055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（3）进行投标文件解密</w:t>
      </w:r>
      <w:r>
        <w:rPr>
          <w:rFonts w:ascii="仿宋" w:hAnsi="仿宋" w:eastAsia="仿宋" w:cs="仿宋"/>
          <w:sz w:val="28"/>
          <w:szCs w:val="28"/>
        </w:rPr>
        <w:t>，</w:t>
      </w:r>
      <w:r>
        <w:rPr>
          <w:rFonts w:hint="eastAsia" w:ascii="仿宋" w:hAnsi="仿宋" w:eastAsia="仿宋" w:cs="仿宋"/>
          <w:sz w:val="28"/>
          <w:szCs w:val="28"/>
        </w:rPr>
        <w:t>开标人页面会实时展示投标人的解密情况。</w:t>
      </w:r>
    </w:p>
    <w:p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0" distR="0">
            <wp:extent cx="5638800" cy="204597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58423" cy="2053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如果有投标人迟迟不解密，可在线语音或文字提示，或通过“人员列表”查看投标人的联系方式，电话催促。</w:t>
      </w:r>
    </w:p>
    <w:p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0" distR="0">
            <wp:extent cx="5274310" cy="211899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9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0" distR="0">
            <wp:extent cx="5274310" cy="120332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03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（3）所有投标单位解密完成后，系统会有提示，然后开标人点击批量导入</w:t>
      </w:r>
    </w:p>
    <w:p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0" distR="0">
            <wp:extent cx="5274310" cy="2111375"/>
            <wp:effectExtent l="0" t="0" r="2540" b="317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0" distR="0">
            <wp:extent cx="5274310" cy="231330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b/>
          <w:color w:val="FF0000"/>
          <w:szCs w:val="24"/>
        </w:rPr>
      </w:pPr>
      <w:r>
        <w:rPr>
          <w:rFonts w:hint="eastAsia" w:ascii="仿宋" w:hAnsi="仿宋" w:eastAsia="仿宋" w:cs="仿宋"/>
          <w:sz w:val="28"/>
          <w:szCs w:val="28"/>
        </w:rPr>
        <w:t>（4）批量导入成功后，到公布开标结果环节，确认保证金是否到账，点击快捷菜单“保证金查询”，进入保证金详情页面，点击手动查询，单位过多的话，查询会比较慢，请耐心等待。</w:t>
      </w:r>
    </w:p>
    <w:p>
      <w:pPr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0" distR="0">
            <wp:extent cx="5278120" cy="2834640"/>
            <wp:effectExtent l="0" t="0" r="0" b="381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83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0" distR="0">
            <wp:extent cx="5274310" cy="2437130"/>
            <wp:effectExtent l="0" t="0" r="2540" b="12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7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查询成功后，点击开标一览表页面获取保证金，就会把投标单位保证金递交状态自动获取过来。</w:t>
      </w:r>
    </w:p>
    <w:p>
      <w:pPr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0" distR="0">
            <wp:extent cx="4686300" cy="2185670"/>
            <wp:effectExtent l="0" t="0" r="0" b="508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91399" cy="2188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ascii="仿宋" w:hAnsi="仿宋" w:eastAsia="仿宋" w:cs="仿宋"/>
          <w:sz w:val="28"/>
          <w:szCs w:val="28"/>
        </w:rPr>
        <w:t>（5）</w:t>
      </w:r>
      <w:r>
        <w:rPr>
          <w:rFonts w:hint="eastAsia" w:ascii="仿宋" w:hAnsi="仿宋" w:eastAsia="仿宋" w:cs="仿宋"/>
          <w:sz w:val="28"/>
          <w:szCs w:val="28"/>
        </w:rPr>
        <w:t>公布开标结果的同时，开标人点击唱标确认按钮，投标人可以在5分钟内进行确认开标结果，5分钟时间过了，系统默认确认。</w:t>
      </w:r>
    </w:p>
    <w:p>
      <w:pPr>
        <w:ind w:firstLine="420" w:firstLineChars="200"/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0" distR="0">
            <wp:extent cx="5278120" cy="2996565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9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备注：开标信息对所有投标人显示，开标结果会展示文件制作机器码比对功能，有重复的会有红色显示。</w:t>
      </w:r>
    </w:p>
    <w:p>
      <w:pPr>
        <w:ind w:firstLine="420" w:firstLineChars="200"/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0" distR="0">
            <wp:extent cx="5278120" cy="274574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74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</w:t>
      </w:r>
      <w:r>
        <w:rPr>
          <w:rFonts w:ascii="仿宋" w:hAnsi="仿宋" w:eastAsia="仿宋" w:cs="仿宋"/>
          <w:sz w:val="28"/>
          <w:szCs w:val="28"/>
        </w:rPr>
        <w:t>6</w:t>
      </w:r>
      <w:r>
        <w:rPr>
          <w:rFonts w:hint="eastAsia" w:ascii="仿宋" w:hAnsi="仿宋" w:eastAsia="仿宋" w:cs="仿宋"/>
          <w:sz w:val="28"/>
          <w:szCs w:val="28"/>
        </w:rPr>
        <w:t>）唱标确认结束之后，点击开标结束，生成开标记录表。</w:t>
      </w:r>
    </w:p>
    <w:p>
      <w:pPr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0" distR="0">
            <wp:extent cx="5278120" cy="294068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94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0" distR="0">
            <wp:extent cx="5274310" cy="194564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46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开标记录表上面的黄色节点是每个开标阶段的示意图。</w:t>
      </w:r>
    </w:p>
    <w:p>
      <w:pPr>
        <w:pStyle w:val="18"/>
        <w:keepNext/>
        <w:keepLines/>
        <w:numPr>
          <w:ilvl w:val="0"/>
          <w:numId w:val="1"/>
        </w:numPr>
        <w:tabs>
          <w:tab w:val="left" w:pos="425"/>
        </w:tabs>
        <w:spacing w:before="120" w:after="120" w:line="360" w:lineRule="auto"/>
        <w:ind w:firstLineChars="0"/>
        <w:outlineLvl w:val="0"/>
        <w:rPr>
          <w:rFonts w:ascii="仿宋" w:hAnsi="仿宋" w:eastAsia="仿宋" w:cs="仿宋"/>
          <w:b/>
          <w:bCs/>
          <w:kern w:val="44"/>
          <w:sz w:val="28"/>
          <w:szCs w:val="28"/>
        </w:rPr>
      </w:pPr>
      <w:bookmarkStart w:id="9" w:name="_Toc4101"/>
      <w:r>
        <w:rPr>
          <w:rFonts w:hint="eastAsia" w:ascii="仿宋" w:hAnsi="仿宋" w:eastAsia="仿宋" w:cs="仿宋"/>
          <w:b/>
          <w:bCs/>
          <w:kern w:val="44"/>
          <w:sz w:val="28"/>
          <w:szCs w:val="28"/>
        </w:rPr>
        <w:t>开标后系统操作</w:t>
      </w:r>
      <w:bookmarkEnd w:id="9"/>
    </w:p>
    <w:p>
      <w:pPr>
        <w:pStyle w:val="18"/>
        <w:numPr>
          <w:ilvl w:val="0"/>
          <w:numId w:val="2"/>
        </w:numPr>
        <w:ind w:firstLineChars="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代理公司完成入评标区人员登记审核。</w:t>
      </w:r>
    </w:p>
    <w:p>
      <w:pPr>
        <w:pStyle w:val="18"/>
        <w:numPr>
          <w:ilvl w:val="0"/>
          <w:numId w:val="2"/>
        </w:numPr>
        <w:ind w:firstLineChars="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代理公司完成入监控区人员登记审核。</w:t>
      </w:r>
    </w:p>
    <w:p>
      <w:pPr>
        <w:pStyle w:val="18"/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详见《湖南省公共资源交易中心工程建设交易系统操作指南（招标代理，招标人）》。</w:t>
      </w:r>
    </w:p>
    <w:bookmarkEnd w:id="10"/>
    <w:p>
      <w:pPr>
        <w:pStyle w:val="18"/>
        <w:ind w:left="720" w:firstLine="0" w:firstLineChars="0"/>
        <w:rPr>
          <w:rFonts w:ascii="仿宋" w:hAnsi="仿宋" w:eastAsia="仿宋" w:cs="仿宋"/>
          <w:sz w:val="28"/>
          <w:szCs w:val="28"/>
        </w:rPr>
      </w:pPr>
    </w:p>
    <w:sectPr>
      <w:footerReference r:id="rId3" w:type="default"/>
      <w:pgSz w:w="11906" w:h="16838"/>
      <w:pgMar w:top="1440" w:right="1797" w:bottom="1440" w:left="1797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BcMibgsAgAAVQQAAA4AAABkcnMvZTJvRG9jLnhtbK1UzY7TMBC+I/EO&#10;lu80aVlW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FwyJuC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30F77CA"/>
    <w:multiLevelType w:val="multilevel"/>
    <w:tmpl w:val="630F77CA"/>
    <w:lvl w:ilvl="0" w:tentative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7B635691"/>
    <w:multiLevelType w:val="multilevel"/>
    <w:tmpl w:val="7B635691"/>
    <w:lvl w:ilvl="0" w:tentative="0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GJjNTE5MmM3MWVjNTlmZTRlNGUzYTdkOTUyOWJlY2QifQ=="/>
  </w:docVars>
  <w:rsids>
    <w:rsidRoot w:val="006050F1"/>
    <w:rsid w:val="00037195"/>
    <w:rsid w:val="00163662"/>
    <w:rsid w:val="001D07C1"/>
    <w:rsid w:val="00207A0B"/>
    <w:rsid w:val="00250C15"/>
    <w:rsid w:val="0025548E"/>
    <w:rsid w:val="002616E7"/>
    <w:rsid w:val="00270238"/>
    <w:rsid w:val="002933CD"/>
    <w:rsid w:val="002B36B5"/>
    <w:rsid w:val="002B758A"/>
    <w:rsid w:val="002E355C"/>
    <w:rsid w:val="00304F08"/>
    <w:rsid w:val="00360AE5"/>
    <w:rsid w:val="0039395F"/>
    <w:rsid w:val="0039495F"/>
    <w:rsid w:val="00395190"/>
    <w:rsid w:val="003A7D72"/>
    <w:rsid w:val="003D173E"/>
    <w:rsid w:val="003E6998"/>
    <w:rsid w:val="00554171"/>
    <w:rsid w:val="005A2752"/>
    <w:rsid w:val="005D42CB"/>
    <w:rsid w:val="005D75C4"/>
    <w:rsid w:val="006050F1"/>
    <w:rsid w:val="006661E2"/>
    <w:rsid w:val="006D0BF0"/>
    <w:rsid w:val="006E7154"/>
    <w:rsid w:val="006F43C9"/>
    <w:rsid w:val="006F62C3"/>
    <w:rsid w:val="00720CFA"/>
    <w:rsid w:val="00745F9F"/>
    <w:rsid w:val="007B217F"/>
    <w:rsid w:val="0082123D"/>
    <w:rsid w:val="00893DB9"/>
    <w:rsid w:val="008C5A67"/>
    <w:rsid w:val="008E5570"/>
    <w:rsid w:val="008F1597"/>
    <w:rsid w:val="00901145"/>
    <w:rsid w:val="00915049"/>
    <w:rsid w:val="00931B85"/>
    <w:rsid w:val="009551E0"/>
    <w:rsid w:val="00963B3A"/>
    <w:rsid w:val="009722DC"/>
    <w:rsid w:val="009751B4"/>
    <w:rsid w:val="009A1745"/>
    <w:rsid w:val="009B537E"/>
    <w:rsid w:val="009C7A85"/>
    <w:rsid w:val="00A22BEA"/>
    <w:rsid w:val="00A315CE"/>
    <w:rsid w:val="00A55C56"/>
    <w:rsid w:val="00A82A2A"/>
    <w:rsid w:val="00AB6F54"/>
    <w:rsid w:val="00B36193"/>
    <w:rsid w:val="00B81F3B"/>
    <w:rsid w:val="00B92046"/>
    <w:rsid w:val="00BD3A17"/>
    <w:rsid w:val="00BD7D85"/>
    <w:rsid w:val="00C1676D"/>
    <w:rsid w:val="00C41B7C"/>
    <w:rsid w:val="00C451CD"/>
    <w:rsid w:val="00C8221A"/>
    <w:rsid w:val="00CD2C0C"/>
    <w:rsid w:val="00CE055E"/>
    <w:rsid w:val="00CE0F01"/>
    <w:rsid w:val="00D27297"/>
    <w:rsid w:val="00DA0564"/>
    <w:rsid w:val="00DC4261"/>
    <w:rsid w:val="00E30A61"/>
    <w:rsid w:val="00E412E0"/>
    <w:rsid w:val="00E703F0"/>
    <w:rsid w:val="00E87B17"/>
    <w:rsid w:val="00EC436C"/>
    <w:rsid w:val="00F16973"/>
    <w:rsid w:val="00F766E8"/>
    <w:rsid w:val="00F97386"/>
    <w:rsid w:val="00FA0939"/>
    <w:rsid w:val="00FB7318"/>
    <w:rsid w:val="00FF549D"/>
    <w:rsid w:val="01057174"/>
    <w:rsid w:val="0891753F"/>
    <w:rsid w:val="089C791C"/>
    <w:rsid w:val="0B937648"/>
    <w:rsid w:val="123B7B39"/>
    <w:rsid w:val="150E5CEF"/>
    <w:rsid w:val="1C366144"/>
    <w:rsid w:val="1D571CEE"/>
    <w:rsid w:val="1FD014C8"/>
    <w:rsid w:val="216E6218"/>
    <w:rsid w:val="22AE379E"/>
    <w:rsid w:val="237034B0"/>
    <w:rsid w:val="24C44D87"/>
    <w:rsid w:val="271D4D8A"/>
    <w:rsid w:val="29963BF5"/>
    <w:rsid w:val="2F541721"/>
    <w:rsid w:val="30D2231F"/>
    <w:rsid w:val="32AF6F2A"/>
    <w:rsid w:val="38D7407B"/>
    <w:rsid w:val="39EC7CC7"/>
    <w:rsid w:val="3A8E193D"/>
    <w:rsid w:val="411E061B"/>
    <w:rsid w:val="472F3A56"/>
    <w:rsid w:val="4A526D22"/>
    <w:rsid w:val="53BA57E0"/>
    <w:rsid w:val="53C762C4"/>
    <w:rsid w:val="54AF6350"/>
    <w:rsid w:val="59E85E60"/>
    <w:rsid w:val="5E3B40AD"/>
    <w:rsid w:val="5F3D6646"/>
    <w:rsid w:val="5F9A23A9"/>
    <w:rsid w:val="60CB2763"/>
    <w:rsid w:val="63D62198"/>
    <w:rsid w:val="65302769"/>
    <w:rsid w:val="67024A05"/>
    <w:rsid w:val="76071D22"/>
    <w:rsid w:val="766279A2"/>
    <w:rsid w:val="7D472150"/>
    <w:rsid w:val="7E1852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name="toc 1"/>
    <w:lsdException w:qFormat="1" w:uiPriority="39" w:name="toc 2"/>
    <w:lsdException w:qFormat="1"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semiHidden/>
    <w:unhideWhenUsed/>
    <w:qFormat/>
    <w:uiPriority w:val="99"/>
    <w:pPr>
      <w:jc w:val="left"/>
    </w:pPr>
  </w:style>
  <w:style w:type="paragraph" w:styleId="4">
    <w:name w:val="toc 3"/>
    <w:basedOn w:val="1"/>
    <w:next w:val="1"/>
    <w:semiHidden/>
    <w:unhideWhenUsed/>
    <w:qFormat/>
    <w:uiPriority w:val="39"/>
    <w:pPr>
      <w:ind w:left="840" w:leftChars="400"/>
    </w:pPr>
  </w:style>
  <w:style w:type="paragraph" w:styleId="5">
    <w:name w:val="Balloon Text"/>
    <w:basedOn w:val="1"/>
    <w:link w:val="14"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1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toc 1"/>
    <w:basedOn w:val="1"/>
    <w:next w:val="1"/>
    <w:semiHidden/>
    <w:unhideWhenUsed/>
    <w:qFormat/>
    <w:uiPriority w:val="39"/>
  </w:style>
  <w:style w:type="paragraph" w:styleId="9">
    <w:name w:val="toc 2"/>
    <w:basedOn w:val="1"/>
    <w:next w:val="1"/>
    <w:semiHidden/>
    <w:unhideWhenUsed/>
    <w:qFormat/>
    <w:uiPriority w:val="39"/>
    <w:pPr>
      <w:ind w:left="420" w:leftChars="200"/>
    </w:pPr>
  </w:style>
  <w:style w:type="character" w:styleId="12">
    <w:name w:val="Hyperlink"/>
    <w:basedOn w:val="1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13">
    <w:name w:val="annotation reference"/>
    <w:basedOn w:val="11"/>
    <w:semiHidden/>
    <w:unhideWhenUsed/>
    <w:qFormat/>
    <w:uiPriority w:val="99"/>
    <w:rPr>
      <w:sz w:val="21"/>
      <w:szCs w:val="21"/>
    </w:rPr>
  </w:style>
  <w:style w:type="character" w:customStyle="1" w:styleId="14">
    <w:name w:val="批注框文本 Char"/>
    <w:basedOn w:val="11"/>
    <w:link w:val="5"/>
    <w:semiHidden/>
    <w:qFormat/>
    <w:uiPriority w:val="99"/>
    <w:rPr>
      <w:sz w:val="18"/>
      <w:szCs w:val="18"/>
    </w:rPr>
  </w:style>
  <w:style w:type="character" w:customStyle="1" w:styleId="15">
    <w:name w:val="标题 1 Char"/>
    <w:basedOn w:val="11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6">
    <w:name w:val="页眉 Char"/>
    <w:basedOn w:val="11"/>
    <w:link w:val="7"/>
    <w:qFormat/>
    <w:uiPriority w:val="99"/>
    <w:rPr>
      <w:sz w:val="18"/>
      <w:szCs w:val="18"/>
    </w:rPr>
  </w:style>
  <w:style w:type="character" w:customStyle="1" w:styleId="17">
    <w:name w:val="页脚 Char"/>
    <w:basedOn w:val="11"/>
    <w:link w:val="6"/>
    <w:qFormat/>
    <w:uiPriority w:val="99"/>
    <w:rPr>
      <w:sz w:val="18"/>
      <w:szCs w:val="18"/>
    </w:rPr>
  </w:style>
  <w:style w:type="paragraph" w:styleId="18">
    <w:name w:val="List Paragraph"/>
    <w:basedOn w:val="1"/>
    <w:qFormat/>
    <w:uiPriority w:val="34"/>
    <w:pPr>
      <w:ind w:firstLine="420" w:firstLineChars="200"/>
    </w:pPr>
  </w:style>
  <w:style w:type="paragraph" w:customStyle="1" w:styleId="19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20">
    <w:name w:val="WPSOffice手动目录 2"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21">
    <w:name w:val="WPSOffice手动目录 3"/>
    <w:qFormat/>
    <w:uiPriority w:val="0"/>
    <w:pPr>
      <w:ind w:left="400" w:leftChars="400"/>
    </w:pPr>
    <w:rPr>
      <w:rFonts w:ascii="Times New Roman" w:hAnsi="Times New Roman" w:eastAsia="宋体" w:cs="Times New Roman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8" Type="http://schemas.openxmlformats.org/officeDocument/2006/relationships/fontTable" Target="fontTable.xml"/><Relationship Id="rId27" Type="http://schemas.openxmlformats.org/officeDocument/2006/relationships/customXml" Target="../customXml/item2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5F0246C-D34E-4168-AEE2-AB71F27394F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MicroWin10.com</Company>
  <Pages>11</Pages>
  <Words>946</Words>
  <Characters>1022</Characters>
  <Lines>16</Lines>
  <Paragraphs>4</Paragraphs>
  <TotalTime>0</TotalTime>
  <ScaleCrop>false</ScaleCrop>
  <LinksUpToDate>false</LinksUpToDate>
  <CharactersWithSpaces>1093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2022-07-25T08:00:00Z</dcterms:created>
  <dc:creator>NTKO</dc:creator>
  <cp:lastModifiedBy>Liuyi</cp:lastModifiedBy>
  <dcterms:modified xsi:type="dcterms:W3CDTF">2023-02-10T04:39:18Z</dcterms:modified>
  <cp:revision>37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7983F7BA5E894BEDA963265F01F6BFD1</vt:lpwstr>
  </property>
</Properties>
</file>