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71135" cy="1755140"/>
            <wp:effectExtent l="0" t="0" r="5715" b="1651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jc w:val="center"/>
        <w:outlineLvl w:val="0"/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</w:pPr>
      <w:bookmarkStart w:id="0" w:name="_Toc7801"/>
      <w:r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  <w:t>政府采购交易网上不见面开标</w:t>
      </w:r>
      <w:r>
        <w:rPr>
          <w:rFonts w:hint="eastAsia" w:asciiTheme="majorEastAsia" w:hAnsiTheme="majorEastAsia" w:eastAsiaTheme="majorEastAsia"/>
          <w:b/>
          <w:sz w:val="32"/>
          <w:szCs w:val="32"/>
        </w:rPr>
        <w:t>操作</w:t>
      </w:r>
      <w:r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  <w:t>指南</w:t>
      </w:r>
      <w:bookmarkEnd w:id="0"/>
    </w:p>
    <w:p>
      <w:pPr>
        <w:jc w:val="center"/>
        <w:rPr>
          <w:rFonts w:asciiTheme="majorEastAsia" w:hAnsiTheme="majorEastAsia" w:eastAsiaTheme="majorEastAsia"/>
          <w:b/>
          <w:sz w:val="32"/>
          <w:szCs w:val="32"/>
        </w:rPr>
      </w:pPr>
      <w:r>
        <w:rPr>
          <w:rFonts w:hint="eastAsia" w:asciiTheme="majorEastAsia" w:hAnsiTheme="majorEastAsia" w:eastAsiaTheme="majorEastAsia"/>
          <w:b/>
          <w:sz w:val="32"/>
          <w:szCs w:val="32"/>
        </w:rPr>
        <w:t>（招标代理）</w:t>
      </w: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rFonts w:asciiTheme="majorEastAsia" w:hAnsiTheme="majorEastAsia" w:eastAsiaTheme="majorEastAsia"/>
          <w:b/>
          <w:sz w:val="32"/>
          <w:szCs w:val="32"/>
        </w:rPr>
      </w:pPr>
    </w:p>
    <w:p>
      <w:pPr>
        <w:jc w:val="center"/>
        <w:rPr>
          <w:rFonts w:asciiTheme="majorEastAsia" w:hAnsiTheme="majorEastAsia" w:eastAsiaTheme="majorEastAsia"/>
          <w:b/>
          <w:sz w:val="32"/>
          <w:szCs w:val="32"/>
        </w:rPr>
      </w:pPr>
      <w:r>
        <w:rPr>
          <w:rFonts w:hint="eastAsia" w:asciiTheme="majorEastAsia" w:hAnsiTheme="majorEastAsia" w:eastAsiaTheme="majorEastAsia"/>
          <w:b/>
          <w:sz w:val="32"/>
          <w:szCs w:val="32"/>
        </w:rPr>
        <w:t>202</w:t>
      </w:r>
      <w:r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  <w:t>3</w:t>
      </w:r>
      <w:r>
        <w:rPr>
          <w:rFonts w:hint="eastAsia" w:asciiTheme="majorEastAsia" w:hAnsiTheme="majorEastAsia" w:eastAsiaTheme="majorEastAsia"/>
          <w:b/>
          <w:sz w:val="32"/>
          <w:szCs w:val="32"/>
        </w:rPr>
        <w:t>年</w:t>
      </w:r>
      <w:r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  <w:t>1</w:t>
      </w:r>
      <w:r>
        <w:rPr>
          <w:rFonts w:hint="eastAsia" w:asciiTheme="majorEastAsia" w:hAnsiTheme="majorEastAsia" w:eastAsiaTheme="majorEastAsia"/>
          <w:b/>
          <w:sz w:val="32"/>
          <w:szCs w:val="32"/>
        </w:rPr>
        <w:t>月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61994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bookmarkStart w:id="23" w:name="_GoBack"/>
          <w:bookmarkEnd w:id="23"/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_Toc7801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szCs w:val="32"/>
              <w:lang w:val="en-US" w:eastAsia="zh-CN"/>
            </w:rPr>
            <w:t>政府采购交易网上不见面开标</w:t>
          </w:r>
          <w:r>
            <w:rPr>
              <w:rFonts w:hint="eastAsia" w:asciiTheme="majorEastAsia" w:hAnsiTheme="majorEastAsia" w:eastAsiaTheme="majorEastAsia"/>
              <w:szCs w:val="32"/>
            </w:rPr>
            <w:t>操作</w:t>
          </w:r>
          <w:r>
            <w:rPr>
              <w:rFonts w:hint="eastAsia" w:asciiTheme="majorEastAsia" w:hAnsiTheme="majorEastAsia" w:eastAsiaTheme="majorEastAsia"/>
              <w:szCs w:val="32"/>
              <w:lang w:val="en-US" w:eastAsia="zh-CN"/>
            </w:rPr>
            <w:t>指南</w:t>
          </w:r>
          <w:r>
            <w:tab/>
          </w:r>
          <w:r>
            <w:fldChar w:fldCharType="begin"/>
          </w:r>
          <w:r>
            <w:instrText xml:space="preserve"> PAGEREF _Toc7801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_Toc9111 </w:instrText>
          </w:r>
          <w:r>
            <w:fldChar w:fldCharType="separate"/>
          </w:r>
          <w:r>
            <w:rPr>
              <w:rFonts w:hint="eastAsia"/>
              <w:szCs w:val="28"/>
            </w:rPr>
            <w:t xml:space="preserve">一、 </w:t>
          </w:r>
          <w:r>
            <w:rPr>
              <w:rFonts w:hint="eastAsia"/>
              <w:szCs w:val="28"/>
              <w:lang w:val="en-US" w:eastAsia="zh-CN"/>
            </w:rPr>
            <w:t>使用准备</w:t>
          </w:r>
          <w:r>
            <w:tab/>
          </w:r>
          <w:r>
            <w:fldChar w:fldCharType="begin"/>
          </w:r>
          <w:r>
            <w:instrText xml:space="preserve"> PAGEREF _Toc9111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_Toc14736 </w:instrText>
          </w:r>
          <w:r>
            <w:fldChar w:fldCharType="separate"/>
          </w:r>
          <w:r>
            <w:rPr>
              <w:rFonts w:hint="eastAsia"/>
              <w:szCs w:val="28"/>
              <w:lang w:val="en-US" w:eastAsia="zh-CN"/>
            </w:rPr>
            <w:t>二、 系统登录</w:t>
          </w:r>
          <w:r>
            <w:tab/>
          </w:r>
          <w:r>
            <w:fldChar w:fldCharType="begin"/>
          </w:r>
          <w:r>
            <w:instrText xml:space="preserve"> PAGEREF _Toc14736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_Toc10393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kern w:val="44"/>
              <w:szCs w:val="28"/>
            </w:rPr>
            <w:t>三、 网上开标操作</w:t>
          </w:r>
          <w:r>
            <w:tab/>
          </w:r>
          <w:r>
            <w:fldChar w:fldCharType="begin"/>
          </w:r>
          <w:r>
            <w:instrText xml:space="preserve"> PAGEREF _Toc10393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_Toc9679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3.1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项目列表页面</w:t>
          </w:r>
          <w:r>
            <w:tab/>
          </w:r>
          <w:r>
            <w:fldChar w:fldCharType="begin"/>
          </w:r>
          <w:r>
            <w:instrText xml:space="preserve"> PAGEREF _Toc9679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_Toc30637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3.2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进入开标大厅</w:t>
          </w:r>
          <w:r>
            <w:tab/>
          </w:r>
          <w:r>
            <w:fldChar w:fldCharType="begin"/>
          </w:r>
          <w:r>
            <w:instrText xml:space="preserve"> PAGEREF _Toc30637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_Toc27710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3.3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等待开标</w:t>
          </w:r>
          <w:r>
            <w:tab/>
          </w:r>
          <w:r>
            <w:fldChar w:fldCharType="begin"/>
          </w:r>
          <w:r>
            <w:instrText xml:space="preserve"> PAGEREF _Toc27710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_Toc15356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3.4公布投标人</w:t>
          </w:r>
          <w:r>
            <w:tab/>
          </w:r>
          <w:r>
            <w:fldChar w:fldCharType="begin"/>
          </w:r>
          <w:r>
            <w:instrText xml:space="preserve"> PAGEREF _Toc15356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_Toc16543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3.5查看投标人名单</w:t>
          </w:r>
          <w:r>
            <w:tab/>
          </w:r>
          <w:r>
            <w:fldChar w:fldCharType="begin"/>
          </w:r>
          <w:r>
            <w:instrText xml:space="preserve"> PAGEREF _Toc16543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_Toc8850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3.6确定解密时长</w:t>
          </w:r>
          <w:r>
            <w:tab/>
          </w:r>
          <w:r>
            <w:fldChar w:fldCharType="begin"/>
          </w:r>
          <w:r>
            <w:instrText xml:space="preserve"> PAGEREF _Toc8850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_Toc2775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3.7投标文件解密</w:t>
          </w:r>
          <w:r>
            <w:tab/>
          </w:r>
          <w:r>
            <w:fldChar w:fldCharType="begin"/>
          </w:r>
          <w:r>
            <w:instrText xml:space="preserve"> PAGEREF _Toc2775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_Toc20128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3.7批量导入</w:t>
          </w:r>
          <w:r>
            <w:tab/>
          </w:r>
          <w:r>
            <w:fldChar w:fldCharType="begin"/>
          </w:r>
          <w:r>
            <w:instrText xml:space="preserve"> PAGEREF _Toc20128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_Toc22698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3.8唱标</w:t>
          </w:r>
          <w:r>
            <w:tab/>
          </w:r>
          <w:r>
            <w:fldChar w:fldCharType="begin"/>
          </w:r>
          <w:r>
            <w:instrText xml:space="preserve"> PAGEREF _Toc22698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_Toc6349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3.9开标结束</w:t>
          </w:r>
          <w:r>
            <w:tab/>
          </w:r>
          <w:r>
            <w:fldChar w:fldCharType="begin"/>
          </w:r>
          <w:r>
            <w:instrText xml:space="preserve"> PAGEREF _Toc6349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r>
        <w:br w:type="page"/>
      </w:r>
    </w:p>
    <w:p>
      <w:pPr>
        <w:pStyle w:val="2"/>
        <w:jc w:val="center"/>
        <w:outlineLvl w:val="9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hint="eastAsia"/>
          <w:sz w:val="28"/>
          <w:szCs w:val="28"/>
        </w:rPr>
      </w:pPr>
      <w:bookmarkStart w:id="1" w:name="_Toc18341"/>
      <w:bookmarkStart w:id="2" w:name="_Toc17237"/>
      <w:bookmarkStart w:id="3" w:name="_Toc9111"/>
      <w:bookmarkStart w:id="4" w:name="_Toc521417683"/>
      <w:bookmarkStart w:id="5" w:name="_Toc517442120"/>
      <w:r>
        <w:rPr>
          <w:rFonts w:hint="eastAsia"/>
          <w:sz w:val="28"/>
          <w:szCs w:val="28"/>
          <w:lang w:val="en-US" w:eastAsia="zh-CN"/>
        </w:rPr>
        <w:t>使用准备</w:t>
      </w:r>
      <w:bookmarkEnd w:id="1"/>
      <w:bookmarkEnd w:id="2"/>
      <w:bookmarkEnd w:id="3"/>
    </w:p>
    <w:p>
      <w:pPr>
        <w:bidi w:val="0"/>
        <w:ind w:firstLine="42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val="en-US" w:eastAsia="zh-CN"/>
          <w14:textFill>
            <w14:solidFill>
              <w14:schemeClr w14:val="tx1"/>
            </w14:solidFill>
          </w14:textFill>
        </w:rPr>
        <w:t>详见《湖南省公共资源交易中心-电子交易系统使用准备操作指南》，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湖南省公共资源交易中心网站（http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val="en-US" w:eastAsia="zh-CN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://ggzy.hunan.gov.cn/）-下载中心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Style w:val="12"/>
          <w:rFonts w:hint="eastAsia" w:ascii="仿宋" w:hAnsi="仿宋" w:eastAsia="仿宋" w:cs="宋体"/>
          <w:color w:val="000000" w:themeColor="text1"/>
          <w:kern w:val="0"/>
          <w:szCs w:val="32"/>
          <w:lang w:val="en-US" w:eastAsia="zh-CN"/>
          <w14:textFill>
            <w14:solidFill>
              <w14:schemeClr w14:val="tx1"/>
            </w14:solidFill>
          </w14:textFill>
        </w:rPr>
        <w:t>获取。</w:t>
      </w:r>
    </w:p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hint="eastAsia"/>
          <w:sz w:val="28"/>
          <w:szCs w:val="28"/>
          <w:lang w:val="en-US" w:eastAsia="zh-CN"/>
        </w:rPr>
      </w:pPr>
      <w:bookmarkStart w:id="6" w:name="_Toc14736"/>
      <w:r>
        <w:rPr>
          <w:rFonts w:hint="eastAsia"/>
          <w:sz w:val="28"/>
          <w:szCs w:val="28"/>
          <w:lang w:val="en-US" w:eastAsia="zh-CN"/>
        </w:rPr>
        <w:t>系统登录</w:t>
      </w:r>
      <w:bookmarkEnd w:id="4"/>
      <w:bookmarkEnd w:id="5"/>
      <w:bookmarkEnd w:id="6"/>
    </w:p>
    <w:p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方法一：登录湖南省公共资源交易服务平台（</w:t>
      </w:r>
      <w:r>
        <w:rPr>
          <w:rFonts w:ascii="Times New Roman" w:hAnsi="Times New Roman" w:eastAsia="宋体" w:cs="Times New Roman"/>
          <w:sz w:val="24"/>
          <w:szCs w:val="24"/>
        </w:rPr>
        <w:t>http://www.hnsggzy.com/</w:t>
      </w:r>
      <w:r>
        <w:rPr>
          <w:rFonts w:hint="eastAsia" w:ascii="Times New Roman" w:hAnsi="Times New Roman" w:eastAsia="宋体" w:cs="Times New Roman"/>
          <w:sz w:val="24"/>
          <w:szCs w:val="24"/>
        </w:rPr>
        <w:t>）</w:t>
      </w:r>
      <w:r>
        <w:rPr>
          <w:rFonts w:ascii="Times New Roman" w:hAnsi="Times New Roman" w:eastAsia="宋体" w:cs="Times New Roman"/>
          <w:sz w:val="24"/>
          <w:szCs w:val="24"/>
        </w:rPr>
        <w:t>(可百度搜索)</w:t>
      </w:r>
      <w:r>
        <w:rPr>
          <w:rFonts w:hint="eastAsia" w:ascii="Times New Roman" w:hAnsi="Times New Roman" w:eastAsia="宋体" w:cs="Times New Roman"/>
          <w:sz w:val="24"/>
          <w:szCs w:val="24"/>
        </w:rPr>
        <w:t>，打开网上办事大厅-网上开标，进入登录页面，通过CA或用户名密码登录</w:t>
      </w:r>
      <w:r>
        <w:rPr>
          <w:rFonts w:ascii="Times New Roman" w:hAnsi="Times New Roman" w:eastAsia="宋体" w:cs="Times New Roman"/>
          <w:sz w:val="24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0935"/>
            <wp:effectExtent l="0" t="0" r="254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2840"/>
            <wp:effectExtent l="0" t="0" r="254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t>方法二</w:t>
      </w:r>
      <w:r>
        <w:rPr>
          <w:rFonts w:hint="eastAsia" w:ascii="Times New Roman" w:hAnsi="Times New Roman" w:eastAsia="宋体" w:cs="Times New Roman"/>
          <w:sz w:val="24"/>
          <w:szCs w:val="24"/>
        </w:rPr>
        <w:t>：登录湖南省公共资源交易中心网站（</w:t>
      </w:r>
      <w:r>
        <w:rPr>
          <w:rFonts w:ascii="Times New Roman" w:hAnsi="Times New Roman" w:eastAsia="宋体" w:cs="Times New Roman"/>
          <w:sz w:val="24"/>
          <w:szCs w:val="24"/>
        </w:rPr>
        <w:t>http://ggzy.hunan.gov.cn/</w:t>
      </w:r>
      <w:r>
        <w:rPr>
          <w:rFonts w:hint="eastAsia" w:ascii="Times New Roman" w:hAnsi="Times New Roman" w:eastAsia="宋体" w:cs="Times New Roman"/>
          <w:sz w:val="24"/>
          <w:szCs w:val="24"/>
        </w:rPr>
        <w:t>）</w:t>
      </w:r>
      <w:r>
        <w:rPr>
          <w:rFonts w:ascii="Times New Roman" w:hAnsi="Times New Roman" w:eastAsia="宋体" w:cs="Times New Roman"/>
          <w:sz w:val="24"/>
          <w:szCs w:val="24"/>
        </w:rPr>
        <w:t>(可百度搜索)</w:t>
      </w:r>
      <w:r>
        <w:rPr>
          <w:rFonts w:hint="eastAsia" w:ascii="Times New Roman" w:hAnsi="Times New Roman" w:eastAsia="宋体" w:cs="Times New Roman"/>
          <w:sz w:val="24"/>
          <w:szCs w:val="24"/>
        </w:rPr>
        <w:t>，打开网上开标，进入登录页面，通过CA、用户名密码登录</w:t>
      </w:r>
      <w:r>
        <w:rPr>
          <w:rFonts w:ascii="Times New Roman" w:hAnsi="Times New Roman" w:eastAsia="宋体" w:cs="Times New Roman"/>
          <w:sz w:val="24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4110"/>
            <wp:effectExtent l="0" t="0" r="254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2840"/>
            <wp:effectExtent l="0" t="0" r="254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t>方法三</w:t>
      </w:r>
      <w:r>
        <w:rPr>
          <w:rFonts w:hint="eastAsia" w:ascii="Times New Roman" w:hAnsi="Times New Roman" w:eastAsia="宋体" w:cs="Times New Roman"/>
          <w:sz w:val="24"/>
          <w:szCs w:val="24"/>
        </w:rPr>
        <w:t>：</w:t>
      </w:r>
      <w:r>
        <w:rPr>
          <w:rFonts w:ascii="Times New Roman" w:hAnsi="Times New Roman" w:eastAsia="宋体" w:cs="Times New Roman"/>
          <w:sz w:val="24"/>
          <w:szCs w:val="24"/>
        </w:rPr>
        <w:t>登录交易系统后</w:t>
      </w:r>
      <w:r>
        <w:rPr>
          <w:rFonts w:hint="eastAsia" w:ascii="Times New Roman" w:hAnsi="Times New Roman" w:eastAsia="宋体" w:cs="Times New Roman"/>
          <w:sz w:val="24"/>
          <w:szCs w:val="24"/>
        </w:rPr>
        <w:t>，通过“进入不见面开标大厅”菜单进入网上开标系统。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1971675"/>
            <wp:effectExtent l="0" t="0" r="254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0" distR="0">
            <wp:extent cx="5274310" cy="240284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ascii="Times New Roman" w:hAnsi="Times New Roman" w:eastAsia="宋体" w:cs="Times New Roman"/>
          <w:b/>
          <w:bCs/>
          <w:kern w:val="44"/>
          <w:sz w:val="32"/>
          <w:szCs w:val="28"/>
        </w:rPr>
      </w:pPr>
      <w:bookmarkStart w:id="7" w:name="_Toc10393"/>
      <w:r>
        <w:rPr>
          <w:rFonts w:hint="eastAsia" w:ascii="Times New Roman" w:hAnsi="Times New Roman" w:eastAsia="宋体" w:cs="Times New Roman"/>
          <w:b/>
          <w:bCs/>
          <w:kern w:val="44"/>
          <w:sz w:val="32"/>
          <w:szCs w:val="28"/>
        </w:rPr>
        <w:t>网上开标操作</w:t>
      </w:r>
      <w:bookmarkEnd w:id="7"/>
    </w:p>
    <w:p>
      <w:pPr>
        <w:pStyle w:val="17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r>
        <w:rPr>
          <w:rFonts w:ascii="Times New Roman" w:hAnsi="Times New Roman" w:eastAsia="宋体" w:cs="Times New Roman"/>
          <w:b/>
          <w:bCs/>
          <w:sz w:val="30"/>
          <w:szCs w:val="32"/>
        </w:rPr>
        <w:tab/>
      </w:r>
      <w:bookmarkStart w:id="8" w:name="_Toc9679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项目列表页面</w:t>
      </w:r>
      <w:bookmarkEnd w:id="8"/>
    </w:p>
    <w:p>
      <w:pPr>
        <w:spacing w:line="360" w:lineRule="auto"/>
        <w:ind w:firstLine="422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b/>
          <w:bCs/>
          <w:szCs w:val="24"/>
        </w:rPr>
        <w:t>功能说明：</w:t>
      </w:r>
      <w:r>
        <w:rPr>
          <w:rFonts w:hint="eastAsia" w:ascii="Times New Roman" w:hAnsi="Times New Roman" w:eastAsia="宋体" w:cs="Times New Roman"/>
          <w:szCs w:val="24"/>
        </w:rPr>
        <w:t>招标人、招标代理登录之后可以看到当前今日开标标段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ind w:left="420"/>
        <w:jc w:val="left"/>
        <w:rPr>
          <w:rFonts w:ascii="Times New Roman" w:hAnsi="Times New Roman" w:eastAsia="宋体" w:cs="Times New Roman"/>
          <w:b/>
          <w:bCs/>
          <w:szCs w:val="24"/>
        </w:rPr>
      </w:pPr>
      <w:r>
        <w:rPr>
          <w:rFonts w:hint="eastAsia" w:ascii="Times New Roman" w:hAnsi="Times New Roman" w:eastAsia="宋体" w:cs="Times New Roman"/>
          <w:color w:val="FF0000"/>
          <w:szCs w:val="24"/>
        </w:rPr>
        <w:t>注意：请提前进入开标大厅，调试好直播以及群聊设置</w:t>
      </w:r>
      <w:r>
        <w:rPr>
          <w:rFonts w:hint="eastAsia" w:ascii="Times New Roman" w:hAnsi="Times New Roman" w:eastAsia="宋体" w:cs="Times New Roman"/>
          <w:color w:val="FF0000"/>
          <w:szCs w:val="24"/>
          <w:lang w:eastAsia="zh-CN"/>
        </w:rPr>
        <w:t>；</w:t>
      </w:r>
      <w:r>
        <w:rPr>
          <w:rFonts w:hint="eastAsia" w:ascii="Times New Roman" w:hAnsi="Times New Roman" w:eastAsia="宋体" w:cs="Times New Roman"/>
          <w:szCs w:val="24"/>
        </w:rPr>
        <w:t>当前登录身份今天有开标的标段；</w:t>
      </w:r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1、登录系统后</w:t>
      </w:r>
      <w:r>
        <w:rPr>
          <w:rFonts w:hint="eastAsia" w:ascii="Times New Roman" w:hAnsi="Times New Roman" w:eastAsia="宋体" w:cs="Times New Roman"/>
          <w:szCs w:val="24"/>
        </w:rPr>
        <w:t>，</w:t>
      </w:r>
      <w:r>
        <w:rPr>
          <w:rFonts w:ascii="Times New Roman" w:hAnsi="Times New Roman" w:eastAsia="宋体" w:cs="Times New Roman"/>
          <w:szCs w:val="24"/>
        </w:rPr>
        <w:t>可查看</w:t>
      </w:r>
      <w:r>
        <w:rPr>
          <w:rFonts w:hint="eastAsia" w:ascii="Times New Roman" w:hAnsi="Times New Roman" w:eastAsia="宋体" w:cs="Times New Roman"/>
          <w:szCs w:val="24"/>
        </w:rPr>
        <w:t>标段开标状态，点击进入对应开标标段。右上角有“退出”按钮，点击可退出系统</w:t>
      </w:r>
      <w:r>
        <w:rPr>
          <w:rFonts w:ascii="Times New Roman" w:hAnsi="Times New Roman" w:eastAsia="宋体" w:cs="Times New Roman"/>
          <w:szCs w:val="24"/>
        </w:rPr>
        <w:t>，</w:t>
      </w:r>
      <w:r>
        <w:rPr>
          <w:rFonts w:hint="eastAsia" w:ascii="Times New Roman" w:hAnsi="Times New Roman" w:eastAsia="宋体" w:cs="Times New Roman"/>
          <w:szCs w:val="24"/>
        </w:rPr>
        <w:t>中间项目列表区域右上角可根据标段名称或者标段编号查询，</w:t>
      </w:r>
      <w:r>
        <w:rPr>
          <w:rFonts w:ascii="Times New Roman" w:hAnsi="Times New Roman" w:eastAsia="宋体" w:cs="Times New Roman"/>
          <w:szCs w:val="24"/>
        </w:rPr>
        <w:t>如下图：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34940" cy="2537460"/>
            <wp:effectExtent l="0" t="0" r="381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9" w:name="_Toc19354"/>
      <w:bookmarkStart w:id="10" w:name="_Toc30637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进入开标大厅</w:t>
      </w:r>
      <w:bookmarkEnd w:id="9"/>
      <w:bookmarkEnd w:id="10"/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进入页面首先阅读开标流程，以实际登录系统为准，点击“我已阅读”进入开标大厅，点击“取消”返回项目列表页面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页面上方展示基础信息、右上方有“返回”按钮，点击返回项目列表页面；</w:t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左侧中间部分是开标环节展示，不同开标过程展示不同的内容；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72351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右侧上部分为直播，直播开标场景，主持人开启直播直接即可观看；如果只能看到视频但听不到声音，刷新浏览器或者直播模式切换成主持人桌面即可。</w:t>
      </w:r>
    </w:p>
    <w:p>
      <w:pPr>
        <w:spacing w:line="360" w:lineRule="auto"/>
        <w:ind w:left="420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14693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右侧下部分是公告栏，主要展示阶段信息、主持人切换视频、暂停、解密等信息；点击右上角放大镜可查看更多；</w:t>
      </w:r>
    </w:p>
    <w:p>
      <w:pPr>
        <w:ind w:firstLine="420"/>
        <w:rPr>
          <w:rFonts w:hint="eastAsia"/>
        </w:rPr>
      </w:pPr>
      <w:r>
        <w:drawing>
          <wp:inline distT="0" distB="0" distL="0" distR="0">
            <wp:extent cx="5274310" cy="242189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2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7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1" w:name="_Toc7661"/>
      <w:bookmarkStart w:id="12" w:name="_Toc27710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等待开标</w:t>
      </w:r>
      <w:bookmarkEnd w:id="11"/>
      <w:bookmarkEnd w:id="12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b/>
          <w:bCs/>
          <w:szCs w:val="24"/>
        </w:rPr>
      </w:pPr>
      <w:r>
        <w:rPr>
          <w:rFonts w:ascii="Times New Roman" w:hAnsi="Times New Roman" w:eastAsia="宋体" w:cs="Times New Roman"/>
          <w:color w:val="FF0000"/>
          <w:szCs w:val="24"/>
        </w:rPr>
        <w:t>注：</w:t>
      </w:r>
      <w:r>
        <w:rPr>
          <w:rFonts w:hint="eastAsia" w:ascii="Times New Roman" w:hAnsi="Times New Roman" w:eastAsia="宋体" w:cs="Times New Roman"/>
          <w:color w:val="FF0000"/>
          <w:szCs w:val="24"/>
        </w:rPr>
        <w:t xml:space="preserve"> 开标时间到了之后不能签到</w:t>
      </w:r>
      <w:r>
        <w:rPr>
          <w:rFonts w:hint="eastAsia" w:ascii="Times New Roman" w:hAnsi="Times New Roman" w:eastAsia="宋体" w:cs="Times New Roman"/>
          <w:color w:val="FF0000"/>
          <w:szCs w:val="24"/>
          <w:lang w:eastAsia="zh-CN"/>
        </w:rPr>
        <w:t>，</w:t>
      </w: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待招标代理发起开始解密后可参与解密。</w:t>
      </w:r>
    </w:p>
    <w:p>
      <w:pPr>
        <w:numPr>
          <w:ilvl w:val="0"/>
          <w:numId w:val="4"/>
        </w:numPr>
        <w:tabs>
          <w:tab w:val="left" w:pos="464"/>
        </w:tabs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ab/>
      </w:r>
      <w:r>
        <w:rPr>
          <w:rFonts w:hint="eastAsia" w:ascii="Times New Roman" w:hAnsi="Times New Roman" w:eastAsia="宋体" w:cs="Times New Roman"/>
          <w:szCs w:val="24"/>
        </w:rPr>
        <w:t>可在页面查看投标人签章情况。</w:t>
      </w:r>
    </w:p>
    <w:p>
      <w:pPr>
        <w:spacing w:line="360" w:lineRule="auto"/>
        <w:ind w:left="420" w:left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在席：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678180" cy="632460"/>
            <wp:effectExtent l="0" t="0" r="762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4"/>
        </w:rPr>
        <w:t xml:space="preserve"> 离席：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670560" cy="632460"/>
            <wp:effectExtent l="0" t="0" r="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4"/>
        </w:rPr>
        <w:t>，已签到：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1722120" cy="678180"/>
            <wp:effectExtent l="0" t="0" r="0" b="762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ind w:firstLine="420"/>
      </w:pPr>
      <w:r>
        <w:rPr>
          <w:rFonts w:hint="eastAsia"/>
        </w:rPr>
        <w:t>2、主持人</w:t>
      </w:r>
      <w:r>
        <w:rPr>
          <w:rFonts w:hint="eastAsia"/>
          <w:b/>
          <w:color w:val="FF0000"/>
        </w:rPr>
        <w:t>开启直播控制及开启群聊</w:t>
      </w:r>
      <w:r>
        <w:rPr>
          <w:rFonts w:hint="eastAsia"/>
        </w:rPr>
        <w:t>，点击开启直播后，也需要把分享屏幕和开启摄像头，如下图</w:t>
      </w:r>
    </w:p>
    <w:p>
      <w:pPr>
        <w:jc w:val="center"/>
        <w:rPr>
          <w:rFonts w:hint="eastAsia"/>
        </w:rPr>
      </w:pPr>
      <w:r>
        <w:drawing>
          <wp:inline distT="0" distB="0" distL="0" distR="0">
            <wp:extent cx="5050155" cy="2495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77557" cy="2508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3" w:name="_Toc242"/>
      <w:bookmarkStart w:id="14" w:name="_Toc15356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3.4公布投标人</w:t>
      </w:r>
      <w:bookmarkEnd w:id="13"/>
      <w:bookmarkEnd w:id="14"/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系统开标时间到了，页面会出现一个黄色按钮“公布投标人”，主持人点击公布即可。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225675"/>
            <wp:effectExtent l="0" t="0" r="254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5" w:name="_Toc15516"/>
      <w:bookmarkStart w:id="16" w:name="_Toc16543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3.5查看投标人名单</w:t>
      </w:r>
      <w:bookmarkEnd w:id="15"/>
      <w:bookmarkEnd w:id="16"/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b/>
          <w:bCs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</w:rPr>
        <w:t>查看投标人名单</w:t>
      </w:r>
      <w:r>
        <w:rPr>
          <w:rFonts w:ascii="Times New Roman" w:hAnsi="Times New Roman" w:eastAsia="宋体" w:cs="Times New Roman"/>
          <w:szCs w:val="24"/>
        </w:rPr>
        <w:t>。</w:t>
      </w:r>
      <w:r>
        <w:rPr>
          <w:rFonts w:hint="eastAsia" w:ascii="Times New Roman" w:hAnsi="Times New Roman" w:eastAsia="宋体" w:cs="Times New Roman"/>
          <w:b/>
          <w:bCs/>
          <w:szCs w:val="24"/>
        </w:rPr>
        <w:t>无</w:t>
      </w:r>
      <w:r>
        <w:rPr>
          <w:rFonts w:hint="eastAsia" w:ascii="Times New Roman" w:hAnsi="Times New Roman" w:eastAsia="宋体" w:cs="Times New Roman"/>
          <w:b/>
          <w:bCs/>
          <w:szCs w:val="24"/>
          <w:lang w:val="en-US" w:eastAsia="zh-CN"/>
        </w:rPr>
        <w:t>需操作</w:t>
      </w:r>
      <w:r>
        <w:rPr>
          <w:rFonts w:hint="eastAsia" w:ascii="Times New Roman" w:hAnsi="Times New Roman" w:eastAsia="宋体" w:cs="Times New Roman"/>
          <w:b/>
          <w:bCs/>
          <w:szCs w:val="24"/>
        </w:rPr>
        <w:t>，直接观看投标单位递交标书情况。</w:t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b/>
          <w:bCs/>
          <w:color w:val="FF0000"/>
          <w:szCs w:val="24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zCs w:val="24"/>
        </w:rPr>
        <w:t>注意：若递交标书单位不足三家，主持人需发布‘终止开标’指令，如下图</w:t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b/>
          <w:bCs/>
          <w:szCs w:val="24"/>
        </w:rPr>
      </w:pPr>
      <w:r>
        <w:drawing>
          <wp:inline distT="0" distB="0" distL="0" distR="0">
            <wp:extent cx="4781550" cy="292735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82022" cy="2927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7" w:name="_Toc8850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3.6确定解密时长</w:t>
      </w:r>
      <w:bookmarkEnd w:id="17"/>
      <w:r>
        <w:rPr>
          <w:rFonts w:ascii="Times New Roman" w:hAnsi="Times New Roman" w:eastAsia="宋体" w:cs="Times New Roman"/>
          <w:b/>
          <w:bCs/>
          <w:sz w:val="30"/>
          <w:szCs w:val="32"/>
        </w:rPr>
        <w:t xml:space="preserve"> 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宋体" w:hAnsi="宋体" w:cs="宋体"/>
          <w:b w:val="0"/>
          <w:bCs/>
          <w:i w:val="0"/>
          <w:color w:val="auto"/>
          <w:sz w:val="21"/>
          <w:szCs w:val="21"/>
          <w:highlight w:val="none"/>
          <w:u w:val="none"/>
          <w:lang w:val="en-US" w:eastAsia="zh-CN"/>
        </w:rPr>
        <w:t>投标截止时间（开标时间）后，发起投标文件解密（多包项目需分包发起多次投标文件解密），</w:t>
      </w:r>
      <w:r>
        <w:rPr>
          <w:rFonts w:hint="eastAsia" w:ascii="Times New Roman" w:hAnsi="Times New Roman" w:eastAsia="宋体" w:cs="Times New Roman"/>
          <w:bCs/>
          <w:szCs w:val="24"/>
        </w:rPr>
        <w:t>确定投标人解密时间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b/>
          <w:color w:val="FF0000"/>
          <w:szCs w:val="24"/>
        </w:rPr>
      </w:pPr>
      <w:r>
        <w:rPr>
          <w:rFonts w:hint="eastAsia" w:ascii="Times New Roman" w:hAnsi="Times New Roman" w:eastAsia="宋体" w:cs="Times New Roman"/>
          <w:b/>
          <w:color w:val="FF0000"/>
          <w:szCs w:val="24"/>
        </w:rPr>
        <w:t>1、系统默认解密时长为30分钟，实际以招标文件为准，保存后生效。</w:t>
      </w:r>
    </w:p>
    <w:p>
      <w:pPr>
        <w:spacing w:line="360" w:lineRule="auto"/>
        <w:jc w:val="left"/>
      </w:pPr>
      <w:r>
        <w:drawing>
          <wp:inline distT="0" distB="0" distL="0" distR="0">
            <wp:extent cx="4133850" cy="181419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34316" cy="1814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left"/>
        <w:rPr>
          <w:rFonts w:ascii="Times New Roman" w:hAnsi="Times New Roman" w:eastAsia="宋体" w:cs="Times New Roman"/>
          <w:b/>
          <w:bCs/>
          <w:szCs w:val="24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zCs w:val="24"/>
          <w:lang w:val="en-US" w:eastAsia="zh-CN"/>
        </w:rPr>
        <w:t>注：未发起投标文件解密的包，将导致投标人无法完成此包的投标文件解密</w:t>
      </w:r>
    </w:p>
    <w:p>
      <w:pPr>
        <w:keepNext/>
        <w:keepLines/>
        <w:tabs>
          <w:tab w:val="left" w:pos="567"/>
        </w:tabs>
        <w:spacing w:before="120" w:after="120" w:line="360" w:lineRule="auto"/>
        <w:ind w:left="425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8" w:name="_Toc19717"/>
      <w:bookmarkStart w:id="19" w:name="_Toc2775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3.7投标文件解密</w:t>
      </w:r>
      <w:bookmarkEnd w:id="18"/>
      <w:bookmarkEnd w:id="19"/>
    </w:p>
    <w:p>
      <w:pPr>
        <w:spacing w:line="360" w:lineRule="auto"/>
        <w:ind w:firstLine="420" w:firstLineChars="200"/>
        <w:jc w:val="left"/>
        <w:rPr>
          <w:rFonts w:hint="eastAsia"/>
        </w:rPr>
      </w:pPr>
      <w:r>
        <w:rPr>
          <w:rFonts w:hint="eastAsia" w:ascii="Times New Roman" w:hAnsi="Times New Roman" w:eastAsia="宋体" w:cs="Times New Roman"/>
          <w:bCs/>
          <w:szCs w:val="24"/>
        </w:rPr>
        <w:t>确认解密时长完毕之后</w:t>
      </w:r>
      <w:r>
        <w:rPr>
          <w:rFonts w:hint="eastAsia" w:ascii="Times New Roman" w:hAnsi="Times New Roman" w:eastAsia="宋体" w:cs="Times New Roman"/>
          <w:bCs/>
          <w:szCs w:val="24"/>
          <w:lang w:eastAsia="zh-CN"/>
        </w:rPr>
        <w:t>，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发起解密。然后</w:t>
      </w:r>
      <w:r>
        <w:rPr>
          <w:rFonts w:hint="eastAsia"/>
        </w:rPr>
        <w:t>观看投标人解密状态，解密完成后会跳出提示，通知主持人进行下一步。</w:t>
      </w:r>
    </w:p>
    <w:p>
      <w:pPr>
        <w:rPr>
          <w:rFonts w:hint="eastAsia"/>
        </w:rPr>
      </w:pPr>
      <w:r>
        <w:drawing>
          <wp:inline distT="0" distB="0" distL="0" distR="0">
            <wp:extent cx="5274310" cy="219202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但如果有投标人还未解密，可进行通知。</w:t>
      </w:r>
    </w:p>
    <w:p>
      <w:pPr>
        <w:rPr>
          <w:rFonts w:hint="eastAsia"/>
          <w:b/>
        </w:rPr>
      </w:pPr>
      <w:r>
        <w:rPr>
          <w:rFonts w:hint="eastAsia"/>
          <w:color w:val="FF0000"/>
        </w:rPr>
        <w:t>通知方式如下</w:t>
      </w:r>
      <w:r>
        <w:rPr>
          <w:rFonts w:hint="eastAsia"/>
          <w:b/>
        </w:rPr>
        <w:t>：</w:t>
      </w:r>
      <w:r>
        <w:rPr>
          <w:rFonts w:hint="eastAsia"/>
        </w:rPr>
        <w:t>1、先确认其是否在线，可通过人员列表查看，在线状态会显示蓝色。</w:t>
      </w:r>
    </w:p>
    <w:p>
      <w:pPr>
        <w:rPr>
          <w:rFonts w:hint="eastAsia"/>
          <w:b/>
        </w:rPr>
      </w:pPr>
      <w:r>
        <w:drawing>
          <wp:inline distT="0" distB="0" distL="0" distR="0">
            <wp:extent cx="4303395" cy="1552575"/>
            <wp:effectExtent l="0" t="0" r="190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01506" cy="1551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可以从以互动交流方式进行通知投标人解密。</w:t>
      </w:r>
    </w:p>
    <w:p>
      <w:pPr>
        <w:rPr>
          <w:rFonts w:hint="eastAsia"/>
          <w:b/>
        </w:rPr>
      </w:pPr>
      <w:r>
        <w:drawing>
          <wp:inline distT="0" distB="0" distL="0" distR="0">
            <wp:extent cx="4321810" cy="187642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9330" cy="1879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2、如果发现其不在线，可通过系统提供的联系方式进行通知。</w:t>
      </w:r>
    </w:p>
    <w:p>
      <w:pPr>
        <w:rPr>
          <w:rFonts w:hint="eastAsia"/>
          <w:b/>
        </w:rPr>
      </w:pPr>
      <w:r>
        <w:drawing>
          <wp:inline distT="0" distB="0" distL="0" distR="0">
            <wp:extent cx="5274310" cy="179260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2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left="425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0" w:name="_Toc20128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3.7批量导入</w:t>
      </w:r>
      <w:bookmarkEnd w:id="20"/>
    </w:p>
    <w:p>
      <w:pPr>
        <w:spacing w:line="360" w:lineRule="auto"/>
        <w:jc w:val="left"/>
        <w:rPr>
          <w:rFonts w:ascii="Times New Roman" w:hAnsi="Times New Roman" w:eastAsia="宋体" w:cs="Times New Roman"/>
          <w:bCs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</w:rPr>
        <w:t>所有投标人解密完成后</w:t>
      </w:r>
      <w:r>
        <w:rPr>
          <w:rFonts w:ascii="Times New Roman" w:hAnsi="Times New Roman" w:eastAsia="宋体" w:cs="Times New Roman"/>
          <w:szCs w:val="24"/>
        </w:rPr>
        <w:t>。</w:t>
      </w:r>
      <w:r>
        <w:rPr>
          <w:rFonts w:hint="eastAsia" w:ascii="Times New Roman" w:hAnsi="Times New Roman" w:eastAsia="宋体" w:cs="Times New Roman"/>
          <w:bCs/>
          <w:szCs w:val="24"/>
        </w:rPr>
        <w:t>将解密好的投标文件导入到开标系统获取开标一览表等内容</w:t>
      </w:r>
      <w:r>
        <w:rPr>
          <w:rFonts w:ascii="Times New Roman" w:hAnsi="Times New Roman" w:eastAsia="宋体" w:cs="Times New Roman"/>
          <w:bCs/>
          <w:szCs w:val="24"/>
        </w:rPr>
        <w:t>。</w:t>
      </w:r>
    </w:p>
    <w:p>
      <w:pPr>
        <w:rPr>
          <w:rFonts w:hint="eastAsia"/>
        </w:rPr>
      </w:pPr>
      <w:r>
        <w:rPr>
          <w:rFonts w:hint="eastAsia"/>
        </w:rPr>
        <w:t>主持人点击“批量导入”即可，如果投标文件过大或者投标人数量多会影响导入速度。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0" distR="0">
            <wp:extent cx="5274310" cy="231330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1" w:name="_Toc22698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3.8唱标</w:t>
      </w:r>
      <w:bookmarkEnd w:id="21"/>
    </w:p>
    <w:p>
      <w:pPr>
        <w:spacing w:line="360" w:lineRule="auto"/>
        <w:jc w:val="left"/>
        <w:rPr>
          <w:rFonts w:ascii="Times New Roman" w:hAnsi="Times New Roman" w:eastAsia="宋体" w:cs="Times New Roman"/>
          <w:bCs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</w:rPr>
        <w:t>批量导入成功</w:t>
      </w:r>
      <w:r>
        <w:rPr>
          <w:rFonts w:ascii="Times New Roman" w:hAnsi="Times New Roman" w:eastAsia="宋体" w:cs="Times New Roman"/>
          <w:szCs w:val="24"/>
        </w:rPr>
        <w:t>。</w:t>
      </w:r>
      <w:r>
        <w:rPr>
          <w:rFonts w:hint="eastAsia" w:ascii="Times New Roman" w:hAnsi="Times New Roman" w:eastAsia="宋体" w:cs="Times New Roman"/>
          <w:bCs/>
          <w:szCs w:val="24"/>
        </w:rPr>
        <w:t>公布开标一览表数据以及获取保证金数据（集中采购项目无保证金）。</w:t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bCs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</w:rPr>
        <w:t>1、直接观看开标一览表数据</w:t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4533900" cy="2064385"/>
            <wp:effectExtent l="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37359" cy="2066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b/>
          <w:color w:val="FF0000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Cs w:val="24"/>
        </w:rPr>
        <w:t>2、确认保证金是否到账，点击快捷菜单</w:t>
      </w:r>
      <w:r>
        <w:rPr>
          <w:rFonts w:hint="eastAsia" w:ascii="Times New Roman" w:hAnsi="Times New Roman" w:eastAsia="宋体" w:cs="Times New Roman"/>
          <w:szCs w:val="24"/>
        </w:rPr>
        <w:tab/>
      </w:r>
      <w:r>
        <w:rPr>
          <w:rFonts w:hint="eastAsia" w:ascii="Times New Roman" w:hAnsi="Times New Roman" w:eastAsia="宋体" w:cs="Times New Roman"/>
          <w:b/>
          <w:color w:val="FF0000"/>
          <w:szCs w:val="24"/>
        </w:rPr>
        <w:t>“保证金查询”</w:t>
      </w:r>
      <w:r>
        <w:rPr>
          <w:rFonts w:hint="eastAsia" w:ascii="Times New Roman" w:hAnsi="Times New Roman" w:eastAsia="宋体" w:cs="Times New Roman"/>
          <w:b/>
          <w:color w:val="FF0000"/>
          <w:szCs w:val="24"/>
          <w:lang w:eastAsia="zh-CN"/>
        </w:rPr>
        <w:t>（</w:t>
      </w:r>
      <w:r>
        <w:rPr>
          <w:rFonts w:hint="eastAsia" w:ascii="Times New Roman" w:hAnsi="Times New Roman" w:eastAsia="宋体" w:cs="Times New Roman"/>
          <w:b/>
          <w:color w:val="FF0000"/>
          <w:szCs w:val="24"/>
          <w:lang w:val="en-US" w:eastAsia="zh-CN"/>
        </w:rPr>
        <w:t>如需</w:t>
      </w:r>
      <w:r>
        <w:rPr>
          <w:rFonts w:hint="eastAsia" w:ascii="Times New Roman" w:hAnsi="Times New Roman" w:eastAsia="宋体" w:cs="Times New Roman"/>
          <w:b/>
          <w:color w:val="FF0000"/>
          <w:szCs w:val="24"/>
          <w:lang w:eastAsia="zh-CN"/>
        </w:rPr>
        <w:t>）</w:t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4276725" cy="2037715"/>
            <wp:effectExtent l="0" t="0" r="0" b="63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74666" cy="203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进入保证金详情页面，点击手动查询，单位过多的话，查询会比较慢，请耐心等待。</w:t>
      </w:r>
      <w:r>
        <w:rPr>
          <w:rFonts w:ascii="Times New Roman" w:hAnsi="Times New Roman" w:eastAsia="宋体" w:cs="Times New Roman"/>
          <w:szCs w:val="24"/>
        </w:rPr>
        <w:t xml:space="preserve"> </w:t>
      </w:r>
    </w:p>
    <w:p>
      <w:r>
        <w:drawing>
          <wp:inline distT="0" distB="0" distL="0" distR="0">
            <wp:extent cx="3686175" cy="170307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84870" cy="1702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查询成功后，点击开标一览表页面</w:t>
      </w:r>
      <w:r>
        <w:rPr>
          <w:rFonts w:hint="eastAsia"/>
          <w:b/>
          <w:color w:val="FF0000"/>
        </w:rPr>
        <w:t>获取保证金</w:t>
      </w:r>
      <w:r>
        <w:rPr>
          <w:rFonts w:hint="eastAsia"/>
        </w:rPr>
        <w:t>，就会把投标单位保证金递交状态自动获取过来。</w:t>
      </w:r>
    </w:p>
    <w:p>
      <w:r>
        <w:drawing>
          <wp:inline distT="0" distB="0" distL="0" distR="0">
            <wp:extent cx="4686300" cy="2185670"/>
            <wp:effectExtent l="0" t="0" r="0" b="508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91399" cy="218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注意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1.</w:t>
      </w:r>
      <w:r>
        <w:rPr>
          <w:rFonts w:hint="eastAsia"/>
          <w:color w:val="FF0000"/>
        </w:rPr>
        <w:t>开标信息对所有投标人显示，开标结果会展示文件制作机器码比对功能，有重复的会有红色显示。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  <w:lang w:val="en-US" w:eastAsia="zh-CN"/>
        </w:rPr>
        <w:t>2.</w:t>
      </w:r>
      <w:r>
        <w:rPr>
          <w:rFonts w:hint="eastAsia"/>
          <w:color w:val="FF0000"/>
        </w:rPr>
        <w:t>公布开标结果的同时，开标人点击唱标确认按钮，投标人可以在5分钟内进行确认开标结果，5分钟时间过了，系统默认确认。</w:t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2" w:name="_Toc6349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3.9开标结束</w:t>
      </w:r>
      <w:bookmarkEnd w:id="22"/>
    </w:p>
    <w:p>
      <w:pPr>
        <w:spacing w:line="360" w:lineRule="auto"/>
        <w:jc w:val="left"/>
        <w:rPr>
          <w:rFonts w:hint="eastAsia"/>
          <w:color w:val="FF0000"/>
          <w:lang w:val="en-US" w:eastAsia="zh-CN"/>
        </w:rPr>
      </w:pPr>
      <w:r>
        <w:rPr>
          <w:rFonts w:hint="eastAsia" w:ascii="Times New Roman" w:hAnsi="Times New Roman" w:eastAsia="宋体" w:cs="Times New Roman"/>
          <w:szCs w:val="24"/>
        </w:rPr>
        <w:t>主持人点击开标结束，</w:t>
      </w:r>
      <w:r>
        <w:rPr>
          <w:rFonts w:hint="eastAsia"/>
        </w:rPr>
        <w:t>生成开标记录表。</w:t>
      </w:r>
    </w:p>
    <w:p>
      <w:r>
        <w:rPr>
          <w:rFonts w:hint="eastAsia"/>
          <w:color w:val="FF0000"/>
          <w:lang w:val="en-US" w:eastAsia="zh-CN"/>
        </w:rPr>
        <w:t>注：中心人员通过智慧见证系统，见证开标全过程；采购人监督人员监督开标全过程</w:t>
      </w:r>
      <w:r>
        <w:drawing>
          <wp:inline distT="0" distB="0" distL="0" distR="0">
            <wp:extent cx="5274310" cy="194564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8CF6A8C"/>
    <w:multiLevelType w:val="singleLevel"/>
    <w:tmpl w:val="B8CF6A8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0579512A"/>
    <w:multiLevelType w:val="multilevel"/>
    <w:tmpl w:val="0579512A"/>
    <w:lvl w:ilvl="0" w:tentative="0">
      <w:start w:val="1"/>
      <w:numFmt w:val="chineseCounting"/>
      <w:suff w:val="nothing"/>
      <w:lvlText w:val="%1、"/>
      <w:lvlJc w:val="left"/>
      <w:pPr>
        <w:ind w:left="0" w:firstLine="400"/>
      </w:pPr>
      <w:rPr>
        <w:rFonts w:hint="eastAsia"/>
      </w:rPr>
    </w:lvl>
    <w:lvl w:ilvl="1" w:tentative="0">
      <w:start w:val="1"/>
      <w:numFmt w:val="decimal"/>
      <w:suff w:val="nothing"/>
      <w:lvlText w:val="%2．"/>
      <w:lvlJc w:val="left"/>
      <w:pPr>
        <w:ind w:left="0" w:firstLine="400"/>
      </w:pPr>
      <w:rPr>
        <w:rFonts w:hint="eastAsia"/>
      </w:rPr>
    </w:lvl>
    <w:lvl w:ilvl="2" w:tentative="0">
      <w:start w:val="1"/>
      <w:numFmt w:val="decimal"/>
      <w:suff w:val="nothing"/>
      <w:lvlText w:val="（%3）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EnclosedCircleChinese"/>
      <w:suff w:val="nothing"/>
      <w:lvlText w:val="%4 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"/>
      <w:suff w:val="nothing"/>
      <w:lvlText w:val="%5）"/>
      <w:lvlJc w:val="left"/>
      <w:pPr>
        <w:ind w:left="0" w:firstLine="402"/>
      </w:pPr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Roman"/>
      <w:suff w:val="nothing"/>
      <w:lvlText w:val="%8. 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pPr>
        <w:ind w:left="0" w:firstLine="402"/>
      </w:pPr>
      <w:rPr>
        <w:rFonts w:hint="eastAsia"/>
      </w:rPr>
    </w:lvl>
  </w:abstractNum>
  <w:abstractNum w:abstractNumId="2">
    <w:nsid w:val="0FE9633F"/>
    <w:multiLevelType w:val="singleLevel"/>
    <w:tmpl w:val="0FE9633F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46735E41"/>
    <w:multiLevelType w:val="multilevel"/>
    <w:tmpl w:val="46735E41"/>
    <w:lvl w:ilvl="0" w:tentative="0">
      <w:start w:val="3"/>
      <w:numFmt w:val="decimal"/>
      <w:lvlText w:val="%1"/>
      <w:lvlJc w:val="left"/>
      <w:pPr>
        <w:ind w:left="384" w:hanging="384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1145" w:hanging="72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4350" w:hanging="180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5560" w:hanging="216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JjNTE5MmM3MWVjNTlmZTRlNGUzYTdkOTUyOWJlY2QifQ=="/>
  </w:docVars>
  <w:rsids>
    <w:rsidRoot w:val="006050F1"/>
    <w:rsid w:val="00037195"/>
    <w:rsid w:val="0007583B"/>
    <w:rsid w:val="000867BD"/>
    <w:rsid w:val="000A65AD"/>
    <w:rsid w:val="000F5135"/>
    <w:rsid w:val="000F583B"/>
    <w:rsid w:val="00163662"/>
    <w:rsid w:val="0017353F"/>
    <w:rsid w:val="001968FF"/>
    <w:rsid w:val="001D07C1"/>
    <w:rsid w:val="00234D77"/>
    <w:rsid w:val="002443BB"/>
    <w:rsid w:val="00250C15"/>
    <w:rsid w:val="0025548E"/>
    <w:rsid w:val="002616E7"/>
    <w:rsid w:val="002933CD"/>
    <w:rsid w:val="002B36B5"/>
    <w:rsid w:val="002B758A"/>
    <w:rsid w:val="002E3030"/>
    <w:rsid w:val="002E355C"/>
    <w:rsid w:val="00304F08"/>
    <w:rsid w:val="0031424A"/>
    <w:rsid w:val="00331B53"/>
    <w:rsid w:val="00354B40"/>
    <w:rsid w:val="00360AE5"/>
    <w:rsid w:val="0039395F"/>
    <w:rsid w:val="0039671E"/>
    <w:rsid w:val="003A7D72"/>
    <w:rsid w:val="003C13B1"/>
    <w:rsid w:val="003E6998"/>
    <w:rsid w:val="004215CB"/>
    <w:rsid w:val="0049275B"/>
    <w:rsid w:val="005305BF"/>
    <w:rsid w:val="00540DDA"/>
    <w:rsid w:val="00554171"/>
    <w:rsid w:val="005D1193"/>
    <w:rsid w:val="005D42CB"/>
    <w:rsid w:val="005D75C4"/>
    <w:rsid w:val="005E72EA"/>
    <w:rsid w:val="006050F1"/>
    <w:rsid w:val="0062406D"/>
    <w:rsid w:val="00652E46"/>
    <w:rsid w:val="006661E2"/>
    <w:rsid w:val="006A20C6"/>
    <w:rsid w:val="006F62C3"/>
    <w:rsid w:val="00794DE7"/>
    <w:rsid w:val="007B217F"/>
    <w:rsid w:val="007F13B6"/>
    <w:rsid w:val="00893DB9"/>
    <w:rsid w:val="00894AE2"/>
    <w:rsid w:val="008C5A67"/>
    <w:rsid w:val="008E5570"/>
    <w:rsid w:val="008F1597"/>
    <w:rsid w:val="00901145"/>
    <w:rsid w:val="00915049"/>
    <w:rsid w:val="0093535D"/>
    <w:rsid w:val="00963B3A"/>
    <w:rsid w:val="00966446"/>
    <w:rsid w:val="009751B4"/>
    <w:rsid w:val="009C7A85"/>
    <w:rsid w:val="00A22BEA"/>
    <w:rsid w:val="00A315CE"/>
    <w:rsid w:val="00A3672D"/>
    <w:rsid w:val="00A55C56"/>
    <w:rsid w:val="00AA33E7"/>
    <w:rsid w:val="00AB6F54"/>
    <w:rsid w:val="00AC2FB3"/>
    <w:rsid w:val="00B36193"/>
    <w:rsid w:val="00B37A7B"/>
    <w:rsid w:val="00B652F5"/>
    <w:rsid w:val="00B92046"/>
    <w:rsid w:val="00BD0BC9"/>
    <w:rsid w:val="00BD3A17"/>
    <w:rsid w:val="00BD7D85"/>
    <w:rsid w:val="00BF52EA"/>
    <w:rsid w:val="00C1676D"/>
    <w:rsid w:val="00C41B7C"/>
    <w:rsid w:val="00C451CD"/>
    <w:rsid w:val="00C8221A"/>
    <w:rsid w:val="00C90B40"/>
    <w:rsid w:val="00CE055E"/>
    <w:rsid w:val="00CE0F01"/>
    <w:rsid w:val="00D1197B"/>
    <w:rsid w:val="00D1541F"/>
    <w:rsid w:val="00D74B73"/>
    <w:rsid w:val="00DA0564"/>
    <w:rsid w:val="00DC4261"/>
    <w:rsid w:val="00DC760E"/>
    <w:rsid w:val="00E703F0"/>
    <w:rsid w:val="00EC436C"/>
    <w:rsid w:val="00F03B92"/>
    <w:rsid w:val="00F11A66"/>
    <w:rsid w:val="00F16973"/>
    <w:rsid w:val="00F65872"/>
    <w:rsid w:val="00F766E8"/>
    <w:rsid w:val="00FA0939"/>
    <w:rsid w:val="00FC0040"/>
    <w:rsid w:val="01304383"/>
    <w:rsid w:val="055B3F73"/>
    <w:rsid w:val="0B6727D9"/>
    <w:rsid w:val="0D946CC0"/>
    <w:rsid w:val="11AA3420"/>
    <w:rsid w:val="124F5DD1"/>
    <w:rsid w:val="13FF7A53"/>
    <w:rsid w:val="1DC87762"/>
    <w:rsid w:val="1EBF050A"/>
    <w:rsid w:val="2CA62D0A"/>
    <w:rsid w:val="30622EE5"/>
    <w:rsid w:val="31474BFA"/>
    <w:rsid w:val="34637732"/>
    <w:rsid w:val="362B422B"/>
    <w:rsid w:val="375D1E78"/>
    <w:rsid w:val="3A5862C6"/>
    <w:rsid w:val="3AC551B0"/>
    <w:rsid w:val="3CA4257B"/>
    <w:rsid w:val="3D9911D7"/>
    <w:rsid w:val="47332F94"/>
    <w:rsid w:val="4A8F2BD7"/>
    <w:rsid w:val="4C6360CA"/>
    <w:rsid w:val="57F718C2"/>
    <w:rsid w:val="5C6C44C5"/>
    <w:rsid w:val="5FA3126C"/>
    <w:rsid w:val="64550596"/>
    <w:rsid w:val="66B2389A"/>
    <w:rsid w:val="691E054C"/>
    <w:rsid w:val="6A5A380F"/>
    <w:rsid w:val="6FEF189F"/>
    <w:rsid w:val="7023779A"/>
    <w:rsid w:val="74703A43"/>
    <w:rsid w:val="78DE5CD7"/>
    <w:rsid w:val="78E8667F"/>
    <w:rsid w:val="79796D9D"/>
    <w:rsid w:val="7D925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qFormat="1"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5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semiHidden/>
    <w:unhideWhenUsed/>
    <w:qFormat/>
    <w:uiPriority w:val="39"/>
  </w:style>
  <w:style w:type="paragraph" w:styleId="9">
    <w:name w:val="toc 2"/>
    <w:basedOn w:val="1"/>
    <w:next w:val="1"/>
    <w:semiHidden/>
    <w:unhideWhenUsed/>
    <w:qFormat/>
    <w:uiPriority w:val="39"/>
    <w:pPr>
      <w:ind w:left="420" w:leftChars="200"/>
    </w:pPr>
  </w:style>
  <w:style w:type="character" w:styleId="12">
    <w:name w:val="Hyperlink"/>
    <w:basedOn w:val="11"/>
    <w:qFormat/>
    <w:uiPriority w:val="0"/>
    <w:rPr>
      <w:color w:val="0000FF"/>
      <w:u w:val="none"/>
    </w:rPr>
  </w:style>
  <w:style w:type="character" w:customStyle="1" w:styleId="13">
    <w:name w:val="批注框文本 Char"/>
    <w:basedOn w:val="11"/>
    <w:link w:val="5"/>
    <w:semiHidden/>
    <w:qFormat/>
    <w:uiPriority w:val="99"/>
    <w:rPr>
      <w:sz w:val="18"/>
      <w:szCs w:val="18"/>
    </w:rPr>
  </w:style>
  <w:style w:type="character" w:customStyle="1" w:styleId="14">
    <w:name w:val="标题 1 Char"/>
    <w:basedOn w:val="11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5">
    <w:name w:val="页眉 Char"/>
    <w:basedOn w:val="11"/>
    <w:link w:val="7"/>
    <w:qFormat/>
    <w:uiPriority w:val="99"/>
    <w:rPr>
      <w:sz w:val="18"/>
      <w:szCs w:val="18"/>
    </w:rPr>
  </w:style>
  <w:style w:type="character" w:customStyle="1" w:styleId="16">
    <w:name w:val="页脚 Char"/>
    <w:basedOn w:val="11"/>
    <w:link w:val="6"/>
    <w:qFormat/>
    <w:uiPriority w:val="99"/>
    <w:rPr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  <w:style w:type="paragraph" w:customStyle="1" w:styleId="18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9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0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MicroWin10.com</Company>
  <Pages>13</Pages>
  <Words>1706</Words>
  <Characters>1820</Characters>
  <Lines>17</Lines>
  <Paragraphs>4</Paragraphs>
  <TotalTime>0</TotalTime>
  <ScaleCrop>false</ScaleCrop>
  <LinksUpToDate>false</LinksUpToDate>
  <CharactersWithSpaces>1962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2020-04-17T01:03:00Z</dcterms:created>
  <dc:creator>NTKO</dc:creator>
  <cp:lastModifiedBy>Liuyi</cp:lastModifiedBy>
  <dcterms:modified xsi:type="dcterms:W3CDTF">2023-02-13T02:12:23Z</dcterms:modified>
  <cp:revision>171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494B6E2C68DD45328880BE5099D48E39</vt:lpwstr>
  </property>
</Properties>
</file>